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DA72">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关于</w:t>
      </w:r>
      <w:r>
        <w:rPr>
          <w:rFonts w:hint="eastAsia" w:ascii="宋体" w:hAnsi="宋体" w:eastAsia="宋体" w:cs="宋体"/>
          <w:b/>
          <w:sz w:val="32"/>
          <w:szCs w:val="32"/>
          <w:lang w:val="en-US" w:eastAsia="zh-CN"/>
        </w:rPr>
        <w:t>琼海市实验小学综合楼扩建工程</w:t>
      </w:r>
      <w:r>
        <w:rPr>
          <w:rFonts w:hint="eastAsia" w:ascii="宋体" w:hAnsi="宋体" w:eastAsia="宋体" w:cs="宋体"/>
          <w:b/>
          <w:bCs w:val="0"/>
          <w:sz w:val="32"/>
          <w:szCs w:val="32"/>
          <w:lang w:eastAsia="zh-CN"/>
        </w:rPr>
        <w:t>建筑</w:t>
      </w:r>
      <w:r>
        <w:rPr>
          <w:rFonts w:hint="eastAsia" w:ascii="宋体" w:hAnsi="宋体" w:eastAsia="宋体" w:cs="宋体"/>
          <w:b/>
          <w:bCs w:val="0"/>
          <w:kern w:val="2"/>
          <w:sz w:val="32"/>
          <w:szCs w:val="32"/>
          <w:highlight w:val="none"/>
          <w:lang w:val="en-US" w:eastAsia="zh-CN" w:bidi="ar"/>
        </w:rPr>
        <w:t>节能、室内环境空气质量、门窗物理性能检测</w:t>
      </w:r>
      <w:r>
        <w:rPr>
          <w:rFonts w:hint="eastAsia" w:ascii="宋体" w:hAnsi="宋体" w:eastAsia="宋体" w:cs="宋体"/>
          <w:b/>
          <w:sz w:val="32"/>
          <w:szCs w:val="32"/>
          <w:lang w:eastAsia="zh-CN"/>
        </w:rPr>
        <w:t>的报价函</w:t>
      </w:r>
    </w:p>
    <w:p w14:paraId="756EAF2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rPr>
      </w:pPr>
    </w:p>
    <w:p w14:paraId="1D47F9D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8"/>
          <w:szCs w:val="28"/>
          <w:lang w:val="en-US" w:eastAsia="zh-CN" w:bidi="ar"/>
        </w:rPr>
      </w:pPr>
      <w:r>
        <w:rPr>
          <w:rFonts w:hint="eastAsia" w:ascii="宋体" w:hAnsi="宋体" w:eastAsia="宋体" w:cs="宋体"/>
          <w:b/>
          <w:bCs/>
          <w:sz w:val="28"/>
          <w:szCs w:val="28"/>
        </w:rPr>
        <w:t>致：</w:t>
      </w:r>
      <w:r>
        <w:rPr>
          <w:rFonts w:hint="eastAsia" w:ascii="宋体" w:hAnsi="宋体" w:eastAsia="宋体" w:cs="宋体"/>
          <w:kern w:val="2"/>
          <w:sz w:val="28"/>
          <w:szCs w:val="28"/>
          <w:lang w:val="en-US" w:eastAsia="zh-CN" w:bidi="ar"/>
        </w:rPr>
        <w:t xml:space="preserve">琼海市城市投资运营有限公司  </w:t>
      </w:r>
    </w:p>
    <w:p w14:paraId="1B916B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8"/>
          <w:szCs w:val="28"/>
          <w:lang w:val="en-US" w:eastAsia="zh-CN" w:bidi="ar"/>
        </w:rPr>
      </w:pPr>
      <w:r>
        <w:rPr>
          <w:rFonts w:hint="eastAsia" w:ascii="宋体" w:hAnsi="宋体" w:eastAsia="宋体" w:cs="宋体"/>
          <w:b/>
          <w:sz w:val="28"/>
          <w:szCs w:val="28"/>
        </w:rPr>
        <w:t>工程名称：</w:t>
      </w:r>
      <w:r>
        <w:rPr>
          <w:rFonts w:hint="eastAsia" w:ascii="宋体" w:hAnsi="宋体" w:eastAsia="宋体" w:cs="宋体"/>
          <w:kern w:val="2"/>
          <w:sz w:val="28"/>
          <w:szCs w:val="28"/>
          <w:lang w:val="en-US" w:eastAsia="zh-CN" w:bidi="ar"/>
        </w:rPr>
        <w:t>琼海市实验小学综合楼扩建工程</w:t>
      </w:r>
    </w:p>
    <w:p w14:paraId="1B7A5A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kern w:val="2"/>
          <w:sz w:val="28"/>
          <w:szCs w:val="28"/>
          <w:lang w:val="en-US" w:eastAsia="zh-CN" w:bidi="ar"/>
        </w:rPr>
      </w:pPr>
      <w:r>
        <w:rPr>
          <w:rFonts w:hint="eastAsia" w:ascii="宋体" w:hAnsi="宋体" w:eastAsia="宋体" w:cs="宋体"/>
          <w:b/>
          <w:sz w:val="28"/>
          <w:szCs w:val="28"/>
        </w:rPr>
        <w:t>工程建设规模与内容：</w:t>
      </w:r>
      <w:r>
        <w:rPr>
          <w:rFonts w:hint="eastAsia" w:ascii="宋体" w:hAnsi="宋体" w:eastAsia="宋体" w:cs="宋体"/>
          <w:b w:val="0"/>
          <w:bCs/>
          <w:sz w:val="28"/>
          <w:szCs w:val="28"/>
          <w:lang w:val="en-US" w:eastAsia="zh-CN"/>
        </w:rPr>
        <w:t>综合楼扩建工程总建筑面积为4112.62㎡（包含扩建新增地上建筑面积3613.56㎡，新增地下室建筑面积499.06㎡）。建筑总高度为21.05米。包含入口门廊、演艺厅、多功能厅、教学楼（含楼、电梯及连廊等在内）、地下设备房及局部室外配套工程等。</w:t>
      </w:r>
    </w:p>
    <w:p w14:paraId="4E1B96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
          <w:sz w:val="28"/>
          <w:szCs w:val="28"/>
        </w:rPr>
        <w:t>工作内容：</w:t>
      </w:r>
      <w:r>
        <w:rPr>
          <w:rFonts w:hint="eastAsia" w:ascii="宋体" w:hAnsi="宋体" w:eastAsia="宋体" w:cs="宋体"/>
          <w:b w:val="0"/>
          <w:bCs/>
          <w:sz w:val="28"/>
          <w:szCs w:val="28"/>
          <w:lang w:eastAsia="zh-CN"/>
        </w:rPr>
        <w:t>建筑</w:t>
      </w:r>
      <w:r>
        <w:rPr>
          <w:rFonts w:hint="eastAsia" w:ascii="宋体" w:hAnsi="宋体" w:eastAsia="宋体" w:cs="宋体"/>
          <w:b w:val="0"/>
          <w:bCs/>
          <w:kern w:val="2"/>
          <w:sz w:val="28"/>
          <w:szCs w:val="28"/>
          <w:highlight w:val="none"/>
          <w:lang w:val="en-US" w:eastAsia="zh-CN" w:bidi="ar"/>
        </w:rPr>
        <w:t>节</w:t>
      </w:r>
      <w:r>
        <w:rPr>
          <w:rFonts w:hint="eastAsia" w:ascii="宋体" w:hAnsi="宋体" w:eastAsia="宋体" w:cs="宋体"/>
          <w:kern w:val="2"/>
          <w:sz w:val="28"/>
          <w:szCs w:val="28"/>
          <w:highlight w:val="none"/>
          <w:lang w:val="en-US" w:eastAsia="zh-CN" w:bidi="ar"/>
        </w:rPr>
        <w:t>能检测、室内环境空气质量检测、门窗物理性能检测</w:t>
      </w:r>
    </w:p>
    <w:p w14:paraId="7CE8F3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8"/>
          <w:szCs w:val="28"/>
          <w:lang w:val="en-US" w:eastAsia="zh-CN" w:bidi="ar"/>
        </w:rPr>
      </w:pPr>
      <w:r>
        <w:rPr>
          <w:rFonts w:hint="eastAsia" w:ascii="宋体" w:hAnsi="宋体" w:eastAsia="宋体" w:cs="宋体"/>
          <w:b/>
          <w:sz w:val="28"/>
          <w:szCs w:val="28"/>
        </w:rPr>
        <w:t>计费依据：</w:t>
      </w:r>
      <w:r>
        <w:rPr>
          <w:rFonts w:hint="eastAsia" w:ascii="宋体" w:hAnsi="宋体" w:eastAsia="宋体" w:cs="宋体"/>
          <w:kern w:val="2"/>
          <w:sz w:val="28"/>
          <w:szCs w:val="28"/>
          <w:highlight w:val="none"/>
          <w:lang w:val="en-US" w:eastAsia="zh-CN" w:bidi="ar"/>
        </w:rPr>
        <w:t>参照《海南省房屋建筑与市政基础设施工程检测收费参考价(2021版)》的收费标准计取</w:t>
      </w:r>
      <w:r>
        <w:rPr>
          <w:rFonts w:hint="eastAsia" w:ascii="宋体" w:hAnsi="宋体" w:eastAsia="宋体" w:cs="宋体"/>
          <w:kern w:val="2"/>
          <w:sz w:val="28"/>
          <w:szCs w:val="28"/>
          <w:lang w:val="en-US" w:eastAsia="zh-CN" w:bidi="ar"/>
        </w:rPr>
        <w:t>。</w:t>
      </w:r>
    </w:p>
    <w:p w14:paraId="0ECD5F6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8"/>
          <w:szCs w:val="28"/>
        </w:rPr>
      </w:pPr>
      <w:r>
        <w:rPr>
          <w:rFonts w:hint="eastAsia" w:ascii="宋体" w:hAnsi="宋体" w:eastAsia="宋体" w:cs="宋体"/>
          <w:b/>
          <w:sz w:val="28"/>
          <w:szCs w:val="28"/>
          <w:lang w:val="en-US" w:eastAsia="zh-CN"/>
        </w:rPr>
        <w:t>服务最终报价：</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kern w:val="2"/>
          <w:sz w:val="28"/>
          <w:szCs w:val="28"/>
          <w:lang w:val="en-US" w:eastAsia="zh-CN" w:bidi="ar"/>
        </w:rPr>
        <w:t>元。（注：详见附件1报价明细）</w:t>
      </w:r>
    </w:p>
    <w:p w14:paraId="79EB74B1">
      <w:pPr>
        <w:keepNext w:val="0"/>
        <w:keepLines w:val="0"/>
        <w:pageBreakBefore w:val="0"/>
        <w:widowControl w:val="0"/>
        <w:tabs>
          <w:tab w:val="left" w:pos="4455"/>
        </w:tabs>
        <w:kinsoku/>
        <w:wordWrap/>
        <w:overflowPunct/>
        <w:topLinePunct w:val="0"/>
        <w:autoSpaceDE/>
        <w:autoSpaceDN/>
        <w:bidi w:val="0"/>
        <w:adjustRightInd/>
        <w:snapToGrid/>
        <w:spacing w:line="520" w:lineRule="exac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服务承诺：</w:t>
      </w:r>
    </w:p>
    <w:p w14:paraId="5B99A80F">
      <w:pPr>
        <w:keepNext w:val="0"/>
        <w:keepLines w:val="0"/>
        <w:pageBreakBefore w:val="0"/>
        <w:widowControl w:val="0"/>
        <w:tabs>
          <w:tab w:val="left" w:pos="4455"/>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1.本项目最终完成的涉及结构安全、主要使用功能的建筑材料、建筑构配件、设备以及工程实体质量等检测项目、数量应符合国家、行业及海南省关于房屋建筑和市政基础设施工程的质量验收标准要求。</w:t>
      </w:r>
    </w:p>
    <w:p w14:paraId="2222BDA5">
      <w:pPr>
        <w:keepNext w:val="0"/>
        <w:keepLines w:val="0"/>
        <w:pageBreakBefore w:val="0"/>
        <w:widowControl w:val="0"/>
        <w:tabs>
          <w:tab w:val="left" w:pos="4455"/>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2"/>
          <w:sz w:val="28"/>
          <w:szCs w:val="28"/>
          <w:lang w:val="en-US" w:eastAsia="zh-CN" w:bidi="ar"/>
        </w:rPr>
      </w:pPr>
      <w:r>
        <w:rPr>
          <w:rFonts w:hint="eastAsia" w:ascii="宋体" w:hAnsi="宋体" w:eastAsia="宋体" w:cs="宋体"/>
          <w:b w:val="0"/>
          <w:bCs/>
          <w:sz w:val="28"/>
          <w:szCs w:val="28"/>
          <w:lang w:val="en-US" w:eastAsia="zh-CN"/>
        </w:rPr>
        <w:t>2.</w:t>
      </w:r>
      <w:r>
        <w:rPr>
          <w:rFonts w:hint="eastAsia" w:ascii="宋体" w:hAnsi="宋体" w:eastAsia="宋体" w:cs="宋体"/>
          <w:b w:val="0"/>
          <w:bCs/>
          <w:kern w:val="2"/>
          <w:sz w:val="28"/>
          <w:szCs w:val="28"/>
          <w:lang w:val="en-US" w:eastAsia="zh-CN" w:bidi="ar"/>
        </w:rPr>
        <w:t>如果我司取得本项目的检测工作，我司承诺工程质量达到合格标准、国家行业质量验收标准。在此声明，所递交的报价文件及有关资料内容完整、真实和准确，如有虚假、后果自负。</w:t>
      </w:r>
    </w:p>
    <w:p w14:paraId="00DAC3AF">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报价单位： </w:t>
      </w:r>
    </w:p>
    <w:p w14:paraId="153EA779">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法定代表人：     （签字或签章）</w:t>
      </w:r>
    </w:p>
    <w:p w14:paraId="570BADCC">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时间： 2025 年    月    日</w:t>
      </w:r>
    </w:p>
    <w:p w14:paraId="1840E4D4">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联系人： </w:t>
      </w:r>
    </w:p>
    <w:p w14:paraId="00811F58">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lang w:val="en-US" w:eastAsia="zh-CN"/>
        </w:rPr>
        <w:sectPr>
          <w:pgSz w:w="11906" w:h="16838"/>
          <w:pgMar w:top="1440" w:right="1080" w:bottom="1440" w:left="1080" w:header="851" w:footer="992" w:gutter="0"/>
          <w:cols w:space="425" w:num="1"/>
          <w:docGrid w:type="linesAndChars" w:linePitch="312" w:charSpace="0"/>
        </w:sectPr>
      </w:pPr>
      <w:r>
        <w:rPr>
          <w:rFonts w:hint="eastAsia" w:ascii="宋体" w:hAnsi="宋体" w:eastAsia="宋体" w:cs="宋体"/>
          <w:kern w:val="2"/>
          <w:sz w:val="28"/>
          <w:szCs w:val="28"/>
          <w:lang w:val="en-US" w:eastAsia="zh-CN" w:bidi="ar"/>
        </w:rPr>
        <w:t>联系电话：</w:t>
      </w:r>
    </w:p>
    <w:p w14:paraId="6330FDB8">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p>
    <w:p w14:paraId="1AAB6F2C">
      <w:pPr>
        <w:pStyle w:val="2"/>
        <w:ind w:left="0" w:leftChars="0" w:firstLine="0" w:firstLineChars="0"/>
        <w:jc w:val="center"/>
        <w:rPr>
          <w:rFonts w:hint="eastAsia" w:ascii="宋体" w:hAnsi="宋体" w:eastAsia="宋体" w:cs="宋体"/>
          <w:b/>
          <w:bCs w:val="0"/>
          <w:kern w:val="2"/>
          <w:sz w:val="24"/>
          <w:szCs w:val="24"/>
          <w:highlight w:val="none"/>
          <w:lang w:val="en-US" w:eastAsia="zh-CN" w:bidi="ar"/>
        </w:rPr>
      </w:pPr>
      <w:r>
        <w:rPr>
          <w:rFonts w:hint="eastAsia" w:ascii="宋体" w:hAnsi="宋体" w:eastAsia="宋体" w:cs="宋体"/>
          <w:b/>
          <w:bCs w:val="0"/>
          <w:kern w:val="2"/>
          <w:sz w:val="21"/>
          <w:szCs w:val="21"/>
          <w:highlight w:val="none"/>
          <w:lang w:val="en-US" w:eastAsia="zh-CN" w:bidi="ar"/>
        </w:rPr>
        <w:t>琼海市实验小学综合楼扩建工程建筑节能、室内环境空气质量、门窗物理性能报价明细</w:t>
      </w:r>
    </w:p>
    <w:tbl>
      <w:tblPr>
        <w:tblStyle w:val="10"/>
        <w:tblW w:w="15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650"/>
        <w:gridCol w:w="950"/>
        <w:gridCol w:w="1237"/>
        <w:gridCol w:w="5988"/>
        <w:gridCol w:w="1600"/>
        <w:gridCol w:w="681"/>
        <w:gridCol w:w="837"/>
        <w:gridCol w:w="1125"/>
        <w:gridCol w:w="1207"/>
        <w:gridCol w:w="1012"/>
      </w:tblGrid>
      <w:tr w14:paraId="6A48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ADFAF19">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序号</w:t>
            </w:r>
          </w:p>
        </w:tc>
        <w:tc>
          <w:tcPr>
            <w:tcW w:w="650" w:type="dxa"/>
            <w:vAlign w:val="center"/>
          </w:tcPr>
          <w:p w14:paraId="2131912E">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项目</w:t>
            </w:r>
          </w:p>
        </w:tc>
        <w:tc>
          <w:tcPr>
            <w:tcW w:w="2187" w:type="dxa"/>
            <w:gridSpan w:val="2"/>
            <w:vAlign w:val="center"/>
          </w:tcPr>
          <w:p w14:paraId="02486E1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分项工程/样品名称</w:t>
            </w:r>
          </w:p>
        </w:tc>
        <w:tc>
          <w:tcPr>
            <w:tcW w:w="5988" w:type="dxa"/>
            <w:shd w:val="clear" w:color="auto" w:fill="auto"/>
            <w:vAlign w:val="center"/>
          </w:tcPr>
          <w:p w14:paraId="7B7459FD">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抽检频率</w:t>
            </w:r>
          </w:p>
        </w:tc>
        <w:tc>
          <w:tcPr>
            <w:tcW w:w="1600" w:type="dxa"/>
            <w:shd w:val="clear" w:color="auto" w:fill="auto"/>
            <w:vAlign w:val="center"/>
          </w:tcPr>
          <w:p w14:paraId="20367129">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检测参数</w:t>
            </w:r>
          </w:p>
        </w:tc>
        <w:tc>
          <w:tcPr>
            <w:tcW w:w="681" w:type="dxa"/>
            <w:shd w:val="clear" w:color="auto" w:fill="auto"/>
            <w:vAlign w:val="center"/>
          </w:tcPr>
          <w:p w14:paraId="68824FDB">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计量单位</w:t>
            </w:r>
          </w:p>
        </w:tc>
        <w:tc>
          <w:tcPr>
            <w:tcW w:w="837" w:type="dxa"/>
            <w:shd w:val="clear" w:color="auto" w:fill="auto"/>
            <w:vAlign w:val="center"/>
          </w:tcPr>
          <w:p w14:paraId="10839B66">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检测</w:t>
            </w:r>
          </w:p>
          <w:p w14:paraId="700B9AE4">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数量</w:t>
            </w:r>
          </w:p>
        </w:tc>
        <w:tc>
          <w:tcPr>
            <w:tcW w:w="1125" w:type="dxa"/>
            <w:shd w:val="clear" w:color="auto" w:fill="auto"/>
            <w:vAlign w:val="center"/>
          </w:tcPr>
          <w:p w14:paraId="48BDBD71">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报价单价</w:t>
            </w:r>
          </w:p>
          <w:p w14:paraId="2E0C8EAC">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（元）</w:t>
            </w:r>
          </w:p>
        </w:tc>
        <w:tc>
          <w:tcPr>
            <w:tcW w:w="1207" w:type="dxa"/>
            <w:shd w:val="clear" w:color="auto" w:fill="auto"/>
            <w:vAlign w:val="center"/>
          </w:tcPr>
          <w:p w14:paraId="707FD5D2">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报价合价</w:t>
            </w:r>
          </w:p>
          <w:p w14:paraId="081EB5E5">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（元）</w:t>
            </w:r>
          </w:p>
        </w:tc>
        <w:tc>
          <w:tcPr>
            <w:tcW w:w="1012" w:type="dxa"/>
            <w:shd w:val="clear" w:color="auto" w:fill="auto"/>
            <w:vAlign w:val="center"/>
          </w:tcPr>
          <w:p w14:paraId="2DEE3529">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备注</w:t>
            </w:r>
          </w:p>
        </w:tc>
      </w:tr>
      <w:tr w14:paraId="6583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6031A43">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w:t>
            </w:r>
          </w:p>
        </w:tc>
        <w:tc>
          <w:tcPr>
            <w:tcW w:w="650" w:type="dxa"/>
            <w:vMerge w:val="restart"/>
            <w:vAlign w:val="center"/>
          </w:tcPr>
          <w:p w14:paraId="06EDF766">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建筑</w:t>
            </w:r>
            <w:r>
              <w:rPr>
                <w:rFonts w:hint="eastAsia" w:ascii="宋体" w:hAnsi="宋体" w:eastAsia="宋体" w:cs="宋体"/>
                <w:b w:val="0"/>
                <w:bCs/>
                <w:kern w:val="2"/>
                <w:sz w:val="21"/>
                <w:szCs w:val="21"/>
                <w:highlight w:val="none"/>
                <w:lang w:val="en-US" w:eastAsia="zh-CN" w:bidi="ar"/>
              </w:rPr>
              <w:t>节能检测</w:t>
            </w:r>
          </w:p>
        </w:tc>
        <w:tc>
          <w:tcPr>
            <w:tcW w:w="950" w:type="dxa"/>
            <w:vMerge w:val="restart"/>
            <w:vAlign w:val="center"/>
          </w:tcPr>
          <w:p w14:paraId="48A739CA">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墙体节能工程</w:t>
            </w:r>
          </w:p>
        </w:tc>
        <w:tc>
          <w:tcPr>
            <w:tcW w:w="1237" w:type="dxa"/>
            <w:vAlign w:val="center"/>
          </w:tcPr>
          <w:p w14:paraId="1C141C3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无机保温砂浆</w:t>
            </w:r>
          </w:p>
        </w:tc>
        <w:tc>
          <w:tcPr>
            <w:tcW w:w="5988" w:type="dxa"/>
            <w:vMerge w:val="restart"/>
            <w:vAlign w:val="center"/>
          </w:tcPr>
          <w:p w14:paraId="54266869">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同厂家、同品种产品，按照扣除门窗洞口后的保温墙面面积所使用的材料用量，在5000 m</w:t>
            </w:r>
            <w:r>
              <w:rPr>
                <w:rFonts w:hint="eastAsia" w:ascii="宋体" w:hAnsi="宋体" w:eastAsia="宋体" w:cs="宋体"/>
                <w:b w:val="0"/>
                <w:bCs/>
                <w:kern w:val="2"/>
                <w:sz w:val="21"/>
                <w:szCs w:val="21"/>
                <w:highlight w:val="none"/>
                <w:vertAlign w:val="superscript"/>
                <w:lang w:val="en-US" w:eastAsia="zh-CN" w:bidi="ar"/>
              </w:rPr>
              <w:t>2</w:t>
            </w:r>
            <w:r>
              <w:rPr>
                <w:rFonts w:hint="eastAsia" w:ascii="宋体" w:hAnsi="宋体" w:eastAsia="宋体" w:cs="宋体"/>
                <w:b w:val="0"/>
                <w:bCs/>
                <w:kern w:val="2"/>
                <w:sz w:val="21"/>
                <w:szCs w:val="21"/>
                <w:highlight w:val="none"/>
                <w:vertAlign w:val="baseline"/>
                <w:lang w:val="en-US" w:eastAsia="zh-CN" w:bidi="ar"/>
              </w:rPr>
              <w:t>以内时应复验1 次；面积每增加5000 m</w:t>
            </w:r>
            <w:bookmarkStart w:id="0" w:name="_GoBack"/>
            <w:r>
              <w:rPr>
                <w:rFonts w:hint="eastAsia" w:ascii="宋体" w:hAnsi="宋体" w:eastAsia="宋体" w:cs="宋体"/>
                <w:b w:val="0"/>
                <w:bCs/>
                <w:kern w:val="2"/>
                <w:sz w:val="21"/>
                <w:szCs w:val="21"/>
                <w:highlight w:val="none"/>
                <w:vertAlign w:val="superscript"/>
                <w:lang w:val="en-US" w:eastAsia="zh-CN" w:bidi="ar"/>
              </w:rPr>
              <w:t>2</w:t>
            </w:r>
            <w:bookmarkEnd w:id="0"/>
            <w:r>
              <w:rPr>
                <w:rFonts w:hint="eastAsia" w:ascii="宋体" w:hAnsi="宋体" w:eastAsia="宋体" w:cs="宋体"/>
                <w:b w:val="0"/>
                <w:bCs/>
                <w:kern w:val="2"/>
                <w:sz w:val="21"/>
                <w:szCs w:val="21"/>
                <w:highlight w:val="none"/>
                <w:vertAlign w:val="baseline"/>
                <w:lang w:val="en-US" w:eastAsia="zh-CN" w:bidi="ar"/>
              </w:rPr>
              <w:t>应增加1 次。同工程项目、同施工单位且同期施工的多个单位工程，可合并计算抽检面积。（GB50411-2019）</w:t>
            </w:r>
          </w:p>
        </w:tc>
        <w:tc>
          <w:tcPr>
            <w:tcW w:w="1600" w:type="dxa"/>
            <w:vMerge w:val="restart"/>
            <w:vAlign w:val="center"/>
          </w:tcPr>
          <w:p w14:paraId="5E8DD0CD">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导热系数、抗压强度、干密度</w:t>
            </w:r>
          </w:p>
        </w:tc>
        <w:tc>
          <w:tcPr>
            <w:tcW w:w="681" w:type="dxa"/>
            <w:vAlign w:val="center"/>
          </w:tcPr>
          <w:p w14:paraId="662D0FC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组</w:t>
            </w:r>
          </w:p>
        </w:tc>
        <w:tc>
          <w:tcPr>
            <w:tcW w:w="837" w:type="dxa"/>
            <w:vAlign w:val="center"/>
          </w:tcPr>
          <w:p w14:paraId="25B29028">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w:t>
            </w:r>
          </w:p>
        </w:tc>
        <w:tc>
          <w:tcPr>
            <w:tcW w:w="1125" w:type="dxa"/>
            <w:vAlign w:val="center"/>
          </w:tcPr>
          <w:p w14:paraId="5F2568E5">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5095C7D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6A1202B2">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4D85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C445BE6">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2</w:t>
            </w:r>
          </w:p>
        </w:tc>
        <w:tc>
          <w:tcPr>
            <w:tcW w:w="650" w:type="dxa"/>
            <w:vMerge w:val="continue"/>
            <w:vAlign w:val="center"/>
          </w:tcPr>
          <w:p w14:paraId="3AD06D1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sz w:val="21"/>
                <w:szCs w:val="21"/>
                <w:lang w:eastAsia="zh-CN"/>
              </w:rPr>
            </w:pPr>
          </w:p>
        </w:tc>
        <w:tc>
          <w:tcPr>
            <w:tcW w:w="950" w:type="dxa"/>
            <w:vMerge w:val="continue"/>
            <w:vAlign w:val="center"/>
          </w:tcPr>
          <w:p w14:paraId="04F0048C">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37" w:type="dxa"/>
            <w:vAlign w:val="center"/>
          </w:tcPr>
          <w:p w14:paraId="1C5931D3">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蒸压灰砂砖</w:t>
            </w:r>
          </w:p>
        </w:tc>
        <w:tc>
          <w:tcPr>
            <w:tcW w:w="5988" w:type="dxa"/>
            <w:vMerge w:val="continue"/>
            <w:tcBorders/>
            <w:vAlign w:val="center"/>
          </w:tcPr>
          <w:p w14:paraId="2A85FB48">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600" w:type="dxa"/>
            <w:vMerge w:val="continue"/>
            <w:tcBorders/>
            <w:vAlign w:val="center"/>
          </w:tcPr>
          <w:p w14:paraId="30F89F1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681" w:type="dxa"/>
            <w:shd w:val="clear"/>
            <w:vAlign w:val="center"/>
          </w:tcPr>
          <w:p w14:paraId="18C21BE6">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组</w:t>
            </w:r>
          </w:p>
        </w:tc>
        <w:tc>
          <w:tcPr>
            <w:tcW w:w="837" w:type="dxa"/>
            <w:shd w:val="clear"/>
            <w:vAlign w:val="center"/>
          </w:tcPr>
          <w:p w14:paraId="0B0E7CB4">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w:t>
            </w:r>
          </w:p>
        </w:tc>
        <w:tc>
          <w:tcPr>
            <w:tcW w:w="1125" w:type="dxa"/>
            <w:vAlign w:val="center"/>
          </w:tcPr>
          <w:p w14:paraId="05298EB5">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20AC4428">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7CF03B3A">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426F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104D8F8">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3</w:t>
            </w:r>
          </w:p>
        </w:tc>
        <w:tc>
          <w:tcPr>
            <w:tcW w:w="650" w:type="dxa"/>
            <w:vMerge w:val="continue"/>
            <w:vAlign w:val="center"/>
          </w:tcPr>
          <w:p w14:paraId="6E55FE0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sz w:val="21"/>
                <w:szCs w:val="21"/>
                <w:lang w:eastAsia="zh-CN"/>
              </w:rPr>
            </w:pPr>
          </w:p>
        </w:tc>
        <w:tc>
          <w:tcPr>
            <w:tcW w:w="950" w:type="dxa"/>
            <w:vMerge w:val="continue"/>
            <w:vAlign w:val="center"/>
          </w:tcPr>
          <w:p w14:paraId="73B19F06">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37" w:type="dxa"/>
            <w:vAlign w:val="center"/>
          </w:tcPr>
          <w:p w14:paraId="565CCB0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保温层构造(取芯)</w:t>
            </w:r>
          </w:p>
        </w:tc>
        <w:tc>
          <w:tcPr>
            <w:tcW w:w="5988" w:type="dxa"/>
            <w:vAlign w:val="center"/>
          </w:tcPr>
          <w:p w14:paraId="23DEBA30">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外墙节能构造按单位工程进行，每种节能构造的外墙不得少于3处，每处检查一个点。同工程项目、同施工单位且同期施工的多个单位工程，可合并计算建筑面积；每30000㎡可视为一个单位工程进行抽样，不足30000㎡可视为一个单位工程</w:t>
            </w:r>
          </w:p>
        </w:tc>
        <w:tc>
          <w:tcPr>
            <w:tcW w:w="1600" w:type="dxa"/>
            <w:vAlign w:val="center"/>
          </w:tcPr>
          <w:p w14:paraId="74DC56C3">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建筑节能构造钻芯</w:t>
            </w:r>
          </w:p>
        </w:tc>
        <w:tc>
          <w:tcPr>
            <w:tcW w:w="681" w:type="dxa"/>
            <w:vAlign w:val="center"/>
          </w:tcPr>
          <w:p w14:paraId="7D37F583">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组</w:t>
            </w:r>
          </w:p>
        </w:tc>
        <w:tc>
          <w:tcPr>
            <w:tcW w:w="837" w:type="dxa"/>
            <w:vAlign w:val="center"/>
          </w:tcPr>
          <w:p w14:paraId="32C4EB7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w:t>
            </w:r>
          </w:p>
        </w:tc>
        <w:tc>
          <w:tcPr>
            <w:tcW w:w="1125" w:type="dxa"/>
            <w:vAlign w:val="center"/>
          </w:tcPr>
          <w:p w14:paraId="7C1D024B">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69F5ABE5">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648B3F2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6C77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42" w:type="dxa"/>
            <w:vAlign w:val="center"/>
          </w:tcPr>
          <w:p w14:paraId="1BFD7C7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4</w:t>
            </w:r>
          </w:p>
        </w:tc>
        <w:tc>
          <w:tcPr>
            <w:tcW w:w="650" w:type="dxa"/>
            <w:vMerge w:val="continue"/>
            <w:vAlign w:val="center"/>
          </w:tcPr>
          <w:p w14:paraId="48863250">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950" w:type="dxa"/>
            <w:vMerge w:val="continue"/>
            <w:vAlign w:val="center"/>
          </w:tcPr>
          <w:p w14:paraId="33CD6088">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37" w:type="dxa"/>
            <w:vAlign w:val="center"/>
          </w:tcPr>
          <w:p w14:paraId="118C32F2">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墙体保温</w:t>
            </w:r>
          </w:p>
        </w:tc>
        <w:tc>
          <w:tcPr>
            <w:tcW w:w="5988" w:type="dxa"/>
            <w:vAlign w:val="center"/>
          </w:tcPr>
          <w:p w14:paraId="7FCCA5BA">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每一单位工程同一保温构造的墙面抽一次或同一项目工程建筑面积每1万㎡抽检1次</w:t>
            </w:r>
          </w:p>
        </w:tc>
        <w:tc>
          <w:tcPr>
            <w:tcW w:w="1600" w:type="dxa"/>
            <w:vAlign w:val="center"/>
          </w:tcPr>
          <w:p w14:paraId="1074C0D4">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墙体传热系数</w:t>
            </w:r>
          </w:p>
        </w:tc>
        <w:tc>
          <w:tcPr>
            <w:tcW w:w="681" w:type="dxa"/>
            <w:vAlign w:val="center"/>
          </w:tcPr>
          <w:p w14:paraId="4AF98D99">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样</w:t>
            </w:r>
          </w:p>
        </w:tc>
        <w:tc>
          <w:tcPr>
            <w:tcW w:w="837" w:type="dxa"/>
            <w:vAlign w:val="center"/>
          </w:tcPr>
          <w:p w14:paraId="6F7162AD">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w:t>
            </w:r>
          </w:p>
        </w:tc>
        <w:tc>
          <w:tcPr>
            <w:tcW w:w="1125" w:type="dxa"/>
            <w:vAlign w:val="center"/>
          </w:tcPr>
          <w:p w14:paraId="46456A20">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0F8C940B">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58A60C5D">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6F55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42" w:type="dxa"/>
            <w:vAlign w:val="center"/>
          </w:tcPr>
          <w:p w14:paraId="01521466">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5</w:t>
            </w:r>
          </w:p>
        </w:tc>
        <w:tc>
          <w:tcPr>
            <w:tcW w:w="650" w:type="dxa"/>
            <w:vMerge w:val="continue"/>
            <w:vAlign w:val="center"/>
          </w:tcPr>
          <w:p w14:paraId="048D430A">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950" w:type="dxa"/>
            <w:vAlign w:val="center"/>
          </w:tcPr>
          <w:p w14:paraId="162F772E">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屋面节能工程</w:t>
            </w:r>
          </w:p>
        </w:tc>
        <w:tc>
          <w:tcPr>
            <w:tcW w:w="1237" w:type="dxa"/>
            <w:vAlign w:val="center"/>
          </w:tcPr>
          <w:p w14:paraId="6B14EB25">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挤塑聚苯板</w:t>
            </w:r>
          </w:p>
        </w:tc>
        <w:tc>
          <w:tcPr>
            <w:tcW w:w="5988" w:type="dxa"/>
            <w:vAlign w:val="center"/>
          </w:tcPr>
          <w:p w14:paraId="0CC119A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同厂家、同品种产品，扣除天窗采光顶后屋面面积1000㎡以内抽检1次；每增加1000㎡（不足亦按此计算），增加抽检1次。</w:t>
            </w:r>
          </w:p>
        </w:tc>
        <w:tc>
          <w:tcPr>
            <w:tcW w:w="1600" w:type="dxa"/>
            <w:vAlign w:val="center"/>
          </w:tcPr>
          <w:p w14:paraId="4D87144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导热系数、吸水率、压缩强度、燃烧性能</w:t>
            </w:r>
          </w:p>
        </w:tc>
        <w:tc>
          <w:tcPr>
            <w:tcW w:w="681" w:type="dxa"/>
            <w:vAlign w:val="center"/>
          </w:tcPr>
          <w:p w14:paraId="5D4CE3C0">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组</w:t>
            </w:r>
          </w:p>
        </w:tc>
        <w:tc>
          <w:tcPr>
            <w:tcW w:w="837" w:type="dxa"/>
            <w:vAlign w:val="center"/>
          </w:tcPr>
          <w:p w14:paraId="6905BAD0">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w:t>
            </w:r>
          </w:p>
        </w:tc>
        <w:tc>
          <w:tcPr>
            <w:tcW w:w="1125" w:type="dxa"/>
            <w:vAlign w:val="center"/>
          </w:tcPr>
          <w:p w14:paraId="72690076">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3960A4E8">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0DEEB026">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01E7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4714F1C">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6</w:t>
            </w:r>
          </w:p>
        </w:tc>
        <w:tc>
          <w:tcPr>
            <w:tcW w:w="650" w:type="dxa"/>
            <w:vMerge w:val="continue"/>
            <w:vAlign w:val="center"/>
          </w:tcPr>
          <w:p w14:paraId="57F23B0A">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950" w:type="dxa"/>
            <w:vMerge w:val="restart"/>
            <w:vAlign w:val="center"/>
          </w:tcPr>
          <w:p w14:paraId="00EDEA95">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配电与照明节能工程</w:t>
            </w:r>
          </w:p>
        </w:tc>
        <w:tc>
          <w:tcPr>
            <w:tcW w:w="1237" w:type="dxa"/>
            <w:vAlign w:val="center"/>
          </w:tcPr>
          <w:p w14:paraId="6779463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电线电缆</w:t>
            </w:r>
          </w:p>
        </w:tc>
        <w:tc>
          <w:tcPr>
            <w:tcW w:w="5988" w:type="dxa"/>
            <w:vAlign w:val="center"/>
          </w:tcPr>
          <w:p w14:paraId="6638367B">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同一工程项目同一厂家、同一进场批次品种规格总数的10%不少于2规格</w:t>
            </w:r>
          </w:p>
        </w:tc>
        <w:tc>
          <w:tcPr>
            <w:tcW w:w="1600" w:type="dxa"/>
            <w:vAlign w:val="center"/>
          </w:tcPr>
          <w:p w14:paraId="3802EA79">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导体</w:t>
            </w:r>
          </w:p>
        </w:tc>
        <w:tc>
          <w:tcPr>
            <w:tcW w:w="681" w:type="dxa"/>
            <w:vAlign w:val="center"/>
          </w:tcPr>
          <w:p w14:paraId="6908F653">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组</w:t>
            </w:r>
          </w:p>
        </w:tc>
        <w:tc>
          <w:tcPr>
            <w:tcW w:w="837" w:type="dxa"/>
            <w:vAlign w:val="center"/>
          </w:tcPr>
          <w:p w14:paraId="229192A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2</w:t>
            </w:r>
          </w:p>
        </w:tc>
        <w:tc>
          <w:tcPr>
            <w:tcW w:w="1125" w:type="dxa"/>
            <w:vAlign w:val="center"/>
          </w:tcPr>
          <w:p w14:paraId="3911C05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4D3F58A8">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454AC31B">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6B8A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2" w:type="dxa"/>
            <w:vAlign w:val="center"/>
          </w:tcPr>
          <w:p w14:paraId="5582689D">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7</w:t>
            </w:r>
          </w:p>
        </w:tc>
        <w:tc>
          <w:tcPr>
            <w:tcW w:w="650" w:type="dxa"/>
            <w:vMerge w:val="continue"/>
            <w:vAlign w:val="center"/>
          </w:tcPr>
          <w:p w14:paraId="313492BC">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950" w:type="dxa"/>
            <w:vMerge w:val="continue"/>
            <w:vAlign w:val="center"/>
          </w:tcPr>
          <w:p w14:paraId="78493C9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37" w:type="dxa"/>
            <w:vAlign w:val="center"/>
          </w:tcPr>
          <w:p w14:paraId="2B7D71A8">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照明照度</w:t>
            </w:r>
          </w:p>
        </w:tc>
        <w:tc>
          <w:tcPr>
            <w:tcW w:w="5988" w:type="dxa"/>
            <w:vAlign w:val="center"/>
          </w:tcPr>
          <w:p w14:paraId="493A7A8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每个典型功能区域不少于2处，且均匀分布，并具有代表性</w:t>
            </w:r>
          </w:p>
        </w:tc>
        <w:tc>
          <w:tcPr>
            <w:tcW w:w="1600" w:type="dxa"/>
            <w:vAlign w:val="center"/>
          </w:tcPr>
          <w:p w14:paraId="682D1B5D">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照度、照明功率密度</w:t>
            </w:r>
          </w:p>
        </w:tc>
        <w:tc>
          <w:tcPr>
            <w:tcW w:w="681" w:type="dxa"/>
            <w:vAlign w:val="center"/>
          </w:tcPr>
          <w:p w14:paraId="3DE04264">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组</w:t>
            </w:r>
          </w:p>
        </w:tc>
        <w:tc>
          <w:tcPr>
            <w:tcW w:w="837" w:type="dxa"/>
            <w:vAlign w:val="center"/>
          </w:tcPr>
          <w:p w14:paraId="7D72C9E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2</w:t>
            </w:r>
          </w:p>
        </w:tc>
        <w:tc>
          <w:tcPr>
            <w:tcW w:w="1125" w:type="dxa"/>
            <w:vAlign w:val="center"/>
          </w:tcPr>
          <w:p w14:paraId="204E5400">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4E6263A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1DED07CC">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1002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55142E2">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8</w:t>
            </w:r>
          </w:p>
        </w:tc>
        <w:tc>
          <w:tcPr>
            <w:tcW w:w="650" w:type="dxa"/>
            <w:vMerge w:val="continue"/>
            <w:vAlign w:val="center"/>
          </w:tcPr>
          <w:p w14:paraId="34FCB57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2187" w:type="dxa"/>
            <w:gridSpan w:val="2"/>
            <w:vMerge w:val="restart"/>
            <w:vAlign w:val="center"/>
          </w:tcPr>
          <w:p w14:paraId="7121DB49">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隔热金属型材-6mm高透光Low-E+12mm空气+6透明</w:t>
            </w:r>
          </w:p>
        </w:tc>
        <w:tc>
          <w:tcPr>
            <w:tcW w:w="5988" w:type="dxa"/>
            <w:vMerge w:val="restart"/>
            <w:vAlign w:val="center"/>
          </w:tcPr>
          <w:p w14:paraId="6A1D2D4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每单位工程每种玻璃形式各抽检一项</w:t>
            </w:r>
          </w:p>
        </w:tc>
        <w:tc>
          <w:tcPr>
            <w:tcW w:w="1600" w:type="dxa"/>
            <w:vAlign w:val="center"/>
          </w:tcPr>
          <w:p w14:paraId="0D314D62">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可见光透射比、遮阳系数</w:t>
            </w:r>
          </w:p>
        </w:tc>
        <w:tc>
          <w:tcPr>
            <w:tcW w:w="681" w:type="dxa"/>
            <w:vAlign w:val="center"/>
          </w:tcPr>
          <w:p w14:paraId="21C31A2A">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组</w:t>
            </w:r>
          </w:p>
        </w:tc>
        <w:tc>
          <w:tcPr>
            <w:tcW w:w="837" w:type="dxa"/>
            <w:vAlign w:val="center"/>
          </w:tcPr>
          <w:p w14:paraId="3D9C3564">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w:t>
            </w:r>
          </w:p>
        </w:tc>
        <w:tc>
          <w:tcPr>
            <w:tcW w:w="1125" w:type="dxa"/>
            <w:vAlign w:val="center"/>
          </w:tcPr>
          <w:p w14:paraId="0E13D813">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264D5EC0">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29735CB6">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65C4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CBA982A">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9</w:t>
            </w:r>
          </w:p>
        </w:tc>
        <w:tc>
          <w:tcPr>
            <w:tcW w:w="650" w:type="dxa"/>
            <w:vMerge w:val="continue"/>
            <w:vAlign w:val="center"/>
          </w:tcPr>
          <w:p w14:paraId="79E289AB">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2187" w:type="dxa"/>
            <w:gridSpan w:val="2"/>
            <w:vMerge w:val="continue"/>
            <w:vAlign w:val="center"/>
          </w:tcPr>
          <w:p w14:paraId="57D71373">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5988" w:type="dxa"/>
            <w:vMerge w:val="continue"/>
            <w:vAlign w:val="center"/>
          </w:tcPr>
          <w:p w14:paraId="07CFB5F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600" w:type="dxa"/>
            <w:vAlign w:val="center"/>
          </w:tcPr>
          <w:p w14:paraId="38E2E41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玻璃密封性能（中空露点）</w:t>
            </w:r>
          </w:p>
        </w:tc>
        <w:tc>
          <w:tcPr>
            <w:tcW w:w="681" w:type="dxa"/>
            <w:shd w:val="clear" w:color="auto" w:fill="auto"/>
            <w:vAlign w:val="center"/>
          </w:tcPr>
          <w:p w14:paraId="06FB78AA">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组</w:t>
            </w:r>
          </w:p>
        </w:tc>
        <w:tc>
          <w:tcPr>
            <w:tcW w:w="837" w:type="dxa"/>
            <w:shd w:val="clear" w:color="auto" w:fill="auto"/>
            <w:vAlign w:val="center"/>
          </w:tcPr>
          <w:p w14:paraId="375B5197">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w:t>
            </w:r>
          </w:p>
        </w:tc>
        <w:tc>
          <w:tcPr>
            <w:tcW w:w="1125" w:type="dxa"/>
            <w:vAlign w:val="center"/>
          </w:tcPr>
          <w:p w14:paraId="3E6C3B40">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03C6E1F3">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2D3D3D63">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1A27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0C27234">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10</w:t>
            </w:r>
          </w:p>
        </w:tc>
        <w:tc>
          <w:tcPr>
            <w:tcW w:w="650" w:type="dxa"/>
            <w:vAlign w:val="center"/>
          </w:tcPr>
          <w:p w14:paraId="2A25D3E5">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lang w:val="en-US" w:eastAsia="zh-CN" w:bidi="ar"/>
              </w:rPr>
              <w:t>室内环境空气质量</w:t>
            </w:r>
          </w:p>
        </w:tc>
        <w:tc>
          <w:tcPr>
            <w:tcW w:w="2187" w:type="dxa"/>
            <w:gridSpan w:val="2"/>
            <w:vAlign w:val="center"/>
          </w:tcPr>
          <w:p w14:paraId="3036DB6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lang w:val="en-US" w:eastAsia="zh-CN" w:bidi="ar"/>
              </w:rPr>
              <w:t>室内环境空气质量</w:t>
            </w:r>
          </w:p>
        </w:tc>
        <w:tc>
          <w:tcPr>
            <w:tcW w:w="5988" w:type="dxa"/>
            <w:vAlign w:val="center"/>
          </w:tcPr>
          <w:p w14:paraId="3AF875FC">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 xml:space="preserve">按房间总数的50%抽检，且不得少于20间。当房间总数不大于20间时，应全数检测。（房间使用面积＜50㎡时，设1个检测点；50≤房间使用面积＜100㎡时，设2个检测点；100≤房间使用面积＜500㎡时，设不少于3个检测点；500≤房间使用面积＜1000㎡时，设不少于5个检测点；≥1000㎡的部分，每增加1000㎡增设1个检测点，增加面积不足1000㎡时按增加1000㎡计算） </w:t>
            </w:r>
          </w:p>
        </w:tc>
        <w:tc>
          <w:tcPr>
            <w:tcW w:w="1600" w:type="dxa"/>
            <w:vAlign w:val="center"/>
          </w:tcPr>
          <w:p w14:paraId="6CB7013C">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苯、氡、氨、甲醛、TVOC含量、二甲苯、甲苯</w:t>
            </w:r>
          </w:p>
        </w:tc>
        <w:tc>
          <w:tcPr>
            <w:tcW w:w="681" w:type="dxa"/>
            <w:vAlign w:val="center"/>
          </w:tcPr>
          <w:p w14:paraId="50ABEA4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点</w:t>
            </w:r>
          </w:p>
        </w:tc>
        <w:tc>
          <w:tcPr>
            <w:tcW w:w="837" w:type="dxa"/>
            <w:vAlign w:val="center"/>
          </w:tcPr>
          <w:p w14:paraId="37350B17">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18</w:t>
            </w:r>
          </w:p>
        </w:tc>
        <w:tc>
          <w:tcPr>
            <w:tcW w:w="1125" w:type="dxa"/>
            <w:vAlign w:val="center"/>
          </w:tcPr>
          <w:p w14:paraId="1F220444">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5236143C">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608EE46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62F6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jc w:val="center"/>
        </w:trPr>
        <w:tc>
          <w:tcPr>
            <w:tcW w:w="442" w:type="dxa"/>
            <w:vAlign w:val="center"/>
          </w:tcPr>
          <w:p w14:paraId="10EF66F5">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11</w:t>
            </w:r>
          </w:p>
        </w:tc>
        <w:tc>
          <w:tcPr>
            <w:tcW w:w="650" w:type="dxa"/>
            <w:vAlign w:val="center"/>
          </w:tcPr>
          <w:p w14:paraId="6638361C">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lang w:val="en-US" w:eastAsia="zh-CN" w:bidi="ar"/>
              </w:rPr>
              <w:t>门窗物理性能</w:t>
            </w:r>
          </w:p>
        </w:tc>
        <w:tc>
          <w:tcPr>
            <w:tcW w:w="2187" w:type="dxa"/>
            <w:gridSpan w:val="2"/>
            <w:vAlign w:val="center"/>
          </w:tcPr>
          <w:p w14:paraId="2382CD41">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建筑门窗</w:t>
            </w:r>
          </w:p>
        </w:tc>
        <w:tc>
          <w:tcPr>
            <w:tcW w:w="5988" w:type="dxa"/>
            <w:vAlign w:val="center"/>
          </w:tcPr>
          <w:p w14:paraId="344CFC4B">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建筑外门窗总面积500平方米以下的工程，抽取一组外门窗进行检测；建筑外门窗总面积为500-2000平方米的工程，每增加500平方米加抽一组外门窗进行检测（增加不足500平方米但超过250平方米的，同样加抽一组）；建筑外门窗总面积在2000平方米以上的工程，超过2000平方米部分，每增加1000平方米加抽一组外门窗进行检测（增加不足1000平方米但超过500平方米的，同样加抽一组）；                                           2、建筑外门窗见证取样检测原则上应是对所有建筑外门窗中最不利的型式及规格进行抽检，并应具有一定的代表性；                                                                          3、同类型同规格的外门窗产品，每3樘为1组；                                                4、送检前应先统计工程中外门窗的使用面积，并会同监理确定送检组数及规格，然后统计送检样品面积。</w:t>
            </w:r>
          </w:p>
        </w:tc>
        <w:tc>
          <w:tcPr>
            <w:tcW w:w="1600" w:type="dxa"/>
            <w:vAlign w:val="center"/>
          </w:tcPr>
          <w:p w14:paraId="632C090B">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气密性、水密性、抗风压性</w:t>
            </w:r>
          </w:p>
        </w:tc>
        <w:tc>
          <w:tcPr>
            <w:tcW w:w="681" w:type="dxa"/>
            <w:vAlign w:val="center"/>
          </w:tcPr>
          <w:p w14:paraId="36A5745D">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w:t>
            </w:r>
          </w:p>
        </w:tc>
        <w:tc>
          <w:tcPr>
            <w:tcW w:w="837" w:type="dxa"/>
            <w:vAlign w:val="center"/>
          </w:tcPr>
          <w:p w14:paraId="39ACD6B6">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9</w:t>
            </w:r>
          </w:p>
        </w:tc>
        <w:tc>
          <w:tcPr>
            <w:tcW w:w="1125" w:type="dxa"/>
            <w:vAlign w:val="center"/>
          </w:tcPr>
          <w:p w14:paraId="12A6F29E">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207" w:type="dxa"/>
            <w:vAlign w:val="center"/>
          </w:tcPr>
          <w:p w14:paraId="6EA9DAD8">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5FA6C3C4">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5BAA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shd w:val="clear" w:color="auto" w:fill="auto"/>
            <w:vAlign w:val="center"/>
          </w:tcPr>
          <w:p w14:paraId="1C66004C">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12</w:t>
            </w:r>
          </w:p>
        </w:tc>
        <w:tc>
          <w:tcPr>
            <w:tcW w:w="13068" w:type="dxa"/>
            <w:gridSpan w:val="8"/>
            <w:shd w:val="clear" w:color="auto" w:fill="auto"/>
            <w:vAlign w:val="center"/>
          </w:tcPr>
          <w:p w14:paraId="63828E7C">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righ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报价合计金额（元）：</w:t>
            </w:r>
          </w:p>
        </w:tc>
        <w:tc>
          <w:tcPr>
            <w:tcW w:w="1207" w:type="dxa"/>
            <w:shd w:val="clear" w:color="auto" w:fill="auto"/>
            <w:vAlign w:val="center"/>
          </w:tcPr>
          <w:p w14:paraId="66D5E742">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shd w:val="clear" w:color="auto" w:fill="auto"/>
            <w:vAlign w:val="center"/>
          </w:tcPr>
          <w:p w14:paraId="4107F794">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26C3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8124B95">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13</w:t>
            </w:r>
          </w:p>
        </w:tc>
        <w:tc>
          <w:tcPr>
            <w:tcW w:w="13068" w:type="dxa"/>
            <w:gridSpan w:val="8"/>
            <w:vAlign w:val="center"/>
          </w:tcPr>
          <w:p w14:paraId="79B35DEE">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righ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报价下浮率（%）：</w:t>
            </w:r>
          </w:p>
        </w:tc>
        <w:tc>
          <w:tcPr>
            <w:tcW w:w="1207" w:type="dxa"/>
            <w:vAlign w:val="center"/>
          </w:tcPr>
          <w:p w14:paraId="447DF826">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2B489A8C">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16E0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95FECC0">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14</w:t>
            </w:r>
          </w:p>
        </w:tc>
        <w:tc>
          <w:tcPr>
            <w:tcW w:w="13068" w:type="dxa"/>
            <w:gridSpan w:val="8"/>
            <w:vAlign w:val="center"/>
          </w:tcPr>
          <w:p w14:paraId="548E6B64">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right"/>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最终报价金额（下浮后，元）：</w:t>
            </w:r>
          </w:p>
        </w:tc>
        <w:tc>
          <w:tcPr>
            <w:tcW w:w="1207" w:type="dxa"/>
            <w:vAlign w:val="center"/>
          </w:tcPr>
          <w:p w14:paraId="4275C31D">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c>
          <w:tcPr>
            <w:tcW w:w="1012" w:type="dxa"/>
            <w:vAlign w:val="center"/>
          </w:tcPr>
          <w:p w14:paraId="45E909CF">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kern w:val="2"/>
                <w:sz w:val="21"/>
                <w:szCs w:val="21"/>
                <w:highlight w:val="none"/>
                <w:vertAlign w:val="baseline"/>
                <w:lang w:val="en-US" w:eastAsia="zh-CN" w:bidi="ar"/>
              </w:rPr>
            </w:pPr>
          </w:p>
        </w:tc>
      </w:tr>
      <w:tr w14:paraId="78E2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9" w:type="dxa"/>
            <w:gridSpan w:val="11"/>
            <w:vAlign w:val="center"/>
          </w:tcPr>
          <w:p w14:paraId="08AA1FAD">
            <w:pPr>
              <w:pStyle w:val="2"/>
              <w:keepNext w:val="0"/>
              <w:keepLines w:val="0"/>
              <w:pageBreakBefore w:val="0"/>
              <w:widowControl/>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说明：</w:t>
            </w:r>
          </w:p>
          <w:p w14:paraId="3E6FFF72">
            <w:pPr>
              <w:pStyle w:val="2"/>
              <w:keepNext w:val="0"/>
              <w:keepLines w:val="0"/>
              <w:pageBreakBefore w:val="0"/>
              <w:widowControl/>
              <w:numPr>
                <w:ilvl w:val="0"/>
                <w:numId w:val="1"/>
              </w:numPr>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报价单价可参照《海南省房屋建筑与市政基础设施工程检测收费参考价(2021版)》的收费标准计取；</w:t>
            </w:r>
          </w:p>
          <w:p w14:paraId="07ED4291">
            <w:pPr>
              <w:pStyle w:val="2"/>
              <w:keepNext w:val="0"/>
              <w:keepLines w:val="0"/>
              <w:pageBreakBefore w:val="0"/>
              <w:widowControl/>
              <w:numPr>
                <w:ilvl w:val="0"/>
                <w:numId w:val="1"/>
              </w:numPr>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vertAlign w:val="baseline"/>
                <w:lang w:val="en-US" w:eastAsia="zh-CN" w:bidi="ar"/>
              </w:rPr>
              <w:t>报价单价为含税固定单价，已包含为完成检测服务工作内容所需的差旅费、人工费、材料设备费、服务费、管理费、利润、税金、报告编制费、技术工作费等各项相关费用；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kern w:val="2"/>
                <w:sz w:val="21"/>
                <w:szCs w:val="21"/>
                <w:highlight w:val="none"/>
                <w:vertAlign w:val="baseline"/>
                <w:lang w:val="en-US" w:eastAsia="zh-CN" w:bidi="ar"/>
              </w:rPr>
              <w:t>3、工作量为暂定数量，最终数量根据项目实际需求以及相关规范标准、设计文件等要求，按实际完成的数量结算合同价。</w:t>
            </w:r>
          </w:p>
        </w:tc>
      </w:tr>
    </w:tbl>
    <w:p w14:paraId="73146A95">
      <w:pPr>
        <w:keepNext w:val="0"/>
        <w:keepLines w:val="0"/>
        <w:pageBreakBefore w:val="0"/>
        <w:widowControl w:val="0"/>
        <w:kinsoku/>
        <w:wordWrap/>
        <w:overflowPunct/>
        <w:topLinePunct w:val="0"/>
        <w:autoSpaceDE/>
        <w:autoSpaceDN/>
        <w:bidi w:val="0"/>
        <w:adjustRightInd/>
        <w:snapToGrid/>
        <w:spacing w:line="400" w:lineRule="exact"/>
        <w:ind w:firstLine="7920" w:firstLineChars="33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报价单位： </w:t>
      </w:r>
    </w:p>
    <w:p w14:paraId="187B4AA0">
      <w:pPr>
        <w:keepNext w:val="0"/>
        <w:keepLines w:val="0"/>
        <w:pageBreakBefore w:val="0"/>
        <w:widowControl w:val="0"/>
        <w:kinsoku/>
        <w:wordWrap/>
        <w:overflowPunct/>
        <w:topLinePunct w:val="0"/>
        <w:autoSpaceDE/>
        <w:autoSpaceDN/>
        <w:bidi w:val="0"/>
        <w:adjustRightInd/>
        <w:snapToGrid/>
        <w:spacing w:line="400" w:lineRule="exact"/>
        <w:ind w:firstLine="7920" w:firstLineChars="33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法定代表人：     （签字或签章）</w:t>
      </w:r>
    </w:p>
    <w:p w14:paraId="352EB687">
      <w:pPr>
        <w:keepNext w:val="0"/>
        <w:keepLines w:val="0"/>
        <w:pageBreakBefore w:val="0"/>
        <w:widowControl w:val="0"/>
        <w:kinsoku/>
        <w:wordWrap/>
        <w:overflowPunct/>
        <w:topLinePunct w:val="0"/>
        <w:autoSpaceDE/>
        <w:autoSpaceDN/>
        <w:bidi w:val="0"/>
        <w:adjustRightInd/>
        <w:snapToGrid/>
        <w:spacing w:line="400" w:lineRule="exact"/>
        <w:ind w:firstLine="7920" w:firstLineChars="33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时间：2025 年    月    日</w:t>
      </w:r>
    </w:p>
    <w:p w14:paraId="2D24148C">
      <w:pPr>
        <w:pStyle w:val="2"/>
        <w:ind w:left="0" w:leftChars="0" w:firstLine="0" w:firstLineChars="0"/>
        <w:rPr>
          <w:rFonts w:hint="eastAsia"/>
          <w:lang w:val="en-US" w:eastAsia="zh-CN"/>
        </w:rPr>
      </w:pPr>
    </w:p>
    <w:sectPr>
      <w:pgSz w:w="16838" w:h="11906" w:orient="landscape"/>
      <w:pgMar w:top="1083" w:right="1440" w:bottom="1083" w:left="1440" w:header="851" w:footer="992" w:gutter="0"/>
      <w:cols w:space="0" w:num="1"/>
      <w:rtlGutter w:val="0"/>
      <w:docGrid w:type="linesAndChar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3AEB3"/>
    <w:multiLevelType w:val="singleLevel"/>
    <w:tmpl w:val="EA53AE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QxOTk0Y2U4ZDhmMmZlODc3ZGU2MjIzMGVkMjQifQ=="/>
  </w:docVars>
  <w:rsids>
    <w:rsidRoot w:val="00D3779C"/>
    <w:rsid w:val="000112C9"/>
    <w:rsid w:val="0002146B"/>
    <w:rsid w:val="00043D17"/>
    <w:rsid w:val="000D0D3B"/>
    <w:rsid w:val="00141FA3"/>
    <w:rsid w:val="0016300D"/>
    <w:rsid w:val="001750B4"/>
    <w:rsid w:val="001A3014"/>
    <w:rsid w:val="001A7B9E"/>
    <w:rsid w:val="001C127D"/>
    <w:rsid w:val="001C2F53"/>
    <w:rsid w:val="001C666D"/>
    <w:rsid w:val="001F2E9A"/>
    <w:rsid w:val="00215C52"/>
    <w:rsid w:val="00251D47"/>
    <w:rsid w:val="00251DA9"/>
    <w:rsid w:val="002B785A"/>
    <w:rsid w:val="00371851"/>
    <w:rsid w:val="003818C8"/>
    <w:rsid w:val="00383239"/>
    <w:rsid w:val="0039274C"/>
    <w:rsid w:val="003A5445"/>
    <w:rsid w:val="003B6679"/>
    <w:rsid w:val="003F7504"/>
    <w:rsid w:val="00420889"/>
    <w:rsid w:val="00462901"/>
    <w:rsid w:val="004964CE"/>
    <w:rsid w:val="004B76AE"/>
    <w:rsid w:val="004D0453"/>
    <w:rsid w:val="004E6381"/>
    <w:rsid w:val="004F1FA1"/>
    <w:rsid w:val="00514D5D"/>
    <w:rsid w:val="00520FB3"/>
    <w:rsid w:val="00537CDD"/>
    <w:rsid w:val="00565AE2"/>
    <w:rsid w:val="0059640E"/>
    <w:rsid w:val="005E1FDD"/>
    <w:rsid w:val="0065202C"/>
    <w:rsid w:val="0065542D"/>
    <w:rsid w:val="006C3ED1"/>
    <w:rsid w:val="006E7657"/>
    <w:rsid w:val="00714ACA"/>
    <w:rsid w:val="00782869"/>
    <w:rsid w:val="00795F49"/>
    <w:rsid w:val="007A5699"/>
    <w:rsid w:val="007D5D2F"/>
    <w:rsid w:val="007E29AC"/>
    <w:rsid w:val="007E78A9"/>
    <w:rsid w:val="00874CE5"/>
    <w:rsid w:val="00884B49"/>
    <w:rsid w:val="00886BEF"/>
    <w:rsid w:val="0089618B"/>
    <w:rsid w:val="008B78F9"/>
    <w:rsid w:val="008D3DCE"/>
    <w:rsid w:val="008E48E5"/>
    <w:rsid w:val="008F110C"/>
    <w:rsid w:val="009127A3"/>
    <w:rsid w:val="009B24E8"/>
    <w:rsid w:val="00A232AF"/>
    <w:rsid w:val="00A4128E"/>
    <w:rsid w:val="00A421A6"/>
    <w:rsid w:val="00A72581"/>
    <w:rsid w:val="00AA0B90"/>
    <w:rsid w:val="00AC7158"/>
    <w:rsid w:val="00AD1CCC"/>
    <w:rsid w:val="00AD53E3"/>
    <w:rsid w:val="00AF7E26"/>
    <w:rsid w:val="00B303FF"/>
    <w:rsid w:val="00B460AF"/>
    <w:rsid w:val="00B614D0"/>
    <w:rsid w:val="00B6624B"/>
    <w:rsid w:val="00B97E7B"/>
    <w:rsid w:val="00BB0B59"/>
    <w:rsid w:val="00C4106F"/>
    <w:rsid w:val="00C50FDB"/>
    <w:rsid w:val="00C8091A"/>
    <w:rsid w:val="00CB35C5"/>
    <w:rsid w:val="00CC0ACD"/>
    <w:rsid w:val="00CD4D43"/>
    <w:rsid w:val="00CE02C1"/>
    <w:rsid w:val="00CE5AFB"/>
    <w:rsid w:val="00CF489C"/>
    <w:rsid w:val="00D210B9"/>
    <w:rsid w:val="00D22C25"/>
    <w:rsid w:val="00D36BD5"/>
    <w:rsid w:val="00D3779C"/>
    <w:rsid w:val="00E13584"/>
    <w:rsid w:val="00E30176"/>
    <w:rsid w:val="00E52C4E"/>
    <w:rsid w:val="00E6679A"/>
    <w:rsid w:val="00EC23AD"/>
    <w:rsid w:val="00F029AA"/>
    <w:rsid w:val="00F1388D"/>
    <w:rsid w:val="00F647C2"/>
    <w:rsid w:val="00F84A74"/>
    <w:rsid w:val="00F870DF"/>
    <w:rsid w:val="00FA1E2D"/>
    <w:rsid w:val="00FE2397"/>
    <w:rsid w:val="035663B6"/>
    <w:rsid w:val="03A87151"/>
    <w:rsid w:val="03B8571E"/>
    <w:rsid w:val="0433137B"/>
    <w:rsid w:val="046F5D9A"/>
    <w:rsid w:val="049A7BD3"/>
    <w:rsid w:val="056A4A1A"/>
    <w:rsid w:val="07A21D68"/>
    <w:rsid w:val="07D7101D"/>
    <w:rsid w:val="0B193D02"/>
    <w:rsid w:val="0BDA0213"/>
    <w:rsid w:val="0C1441FC"/>
    <w:rsid w:val="0C271315"/>
    <w:rsid w:val="0CB84ABE"/>
    <w:rsid w:val="10A87F7E"/>
    <w:rsid w:val="10D848DD"/>
    <w:rsid w:val="11075C76"/>
    <w:rsid w:val="12747CB6"/>
    <w:rsid w:val="171F0264"/>
    <w:rsid w:val="17436FE9"/>
    <w:rsid w:val="18DE232D"/>
    <w:rsid w:val="1B9413C8"/>
    <w:rsid w:val="1F6A5947"/>
    <w:rsid w:val="205363FD"/>
    <w:rsid w:val="25EE546E"/>
    <w:rsid w:val="26FC2651"/>
    <w:rsid w:val="279B287A"/>
    <w:rsid w:val="2862336E"/>
    <w:rsid w:val="2A273C9B"/>
    <w:rsid w:val="2C1D1034"/>
    <w:rsid w:val="2F0B1CA5"/>
    <w:rsid w:val="300D70B8"/>
    <w:rsid w:val="325D4EF0"/>
    <w:rsid w:val="338327C0"/>
    <w:rsid w:val="34C8279C"/>
    <w:rsid w:val="366512DD"/>
    <w:rsid w:val="38575800"/>
    <w:rsid w:val="391406B9"/>
    <w:rsid w:val="39424839"/>
    <w:rsid w:val="39B753D2"/>
    <w:rsid w:val="3A4C57F3"/>
    <w:rsid w:val="3C555DBE"/>
    <w:rsid w:val="40131052"/>
    <w:rsid w:val="40532D51"/>
    <w:rsid w:val="40737DCC"/>
    <w:rsid w:val="40D62A6E"/>
    <w:rsid w:val="412344D1"/>
    <w:rsid w:val="432647DB"/>
    <w:rsid w:val="438020AF"/>
    <w:rsid w:val="442C2496"/>
    <w:rsid w:val="44AE0556"/>
    <w:rsid w:val="44CD230B"/>
    <w:rsid w:val="45263757"/>
    <w:rsid w:val="49BC54C3"/>
    <w:rsid w:val="4C823CAA"/>
    <w:rsid w:val="52527577"/>
    <w:rsid w:val="544D3F25"/>
    <w:rsid w:val="55030E15"/>
    <w:rsid w:val="561A14D3"/>
    <w:rsid w:val="582E07D2"/>
    <w:rsid w:val="597253E6"/>
    <w:rsid w:val="5B1A488C"/>
    <w:rsid w:val="5E694C8B"/>
    <w:rsid w:val="61547287"/>
    <w:rsid w:val="62D05E47"/>
    <w:rsid w:val="636470A4"/>
    <w:rsid w:val="64F73A13"/>
    <w:rsid w:val="683C70E7"/>
    <w:rsid w:val="69EB6340"/>
    <w:rsid w:val="6A485D16"/>
    <w:rsid w:val="6CB26279"/>
    <w:rsid w:val="6DB81AA3"/>
    <w:rsid w:val="706946F9"/>
    <w:rsid w:val="71881E8A"/>
    <w:rsid w:val="726B1F70"/>
    <w:rsid w:val="73AC222A"/>
    <w:rsid w:val="76B3152D"/>
    <w:rsid w:val="79657F23"/>
    <w:rsid w:val="79B50153"/>
    <w:rsid w:val="7AD51AA3"/>
    <w:rsid w:val="7CC3095C"/>
    <w:rsid w:val="7D582587"/>
    <w:rsid w:val="7DE16BC8"/>
    <w:rsid w:val="7FCD2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napToGrid w:val="0"/>
      <w:spacing w:beforeAutospacing="0" w:afterAutospacing="0" w:line="360" w:lineRule="auto"/>
      <w:jc w:val="center"/>
      <w:outlineLvl w:val="0"/>
    </w:pPr>
    <w:rPr>
      <w:rFonts w:ascii="Times New Roman" w:hAnsi="Times New Roman" w:eastAsia="宋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050"/>
      </w:tabs>
      <w:spacing w:line="360" w:lineRule="auto"/>
      <w:ind w:firstLine="200" w:firstLineChars="200"/>
    </w:pPr>
    <w:rPr>
      <w:rFonts w:ascii="Verdana" w:hAnsi="Verdana" w:cs="Verdana"/>
      <w:szCs w:val="28"/>
      <w:lang w:eastAsia="en-US"/>
    </w:rPr>
  </w:style>
  <w:style w:type="paragraph" w:styleId="3">
    <w:name w:val="Body Text Indent"/>
    <w:basedOn w:val="1"/>
    <w:next w:val="4"/>
    <w:qFormat/>
    <w:uiPriority w:val="0"/>
    <w:pPr>
      <w:widowControl/>
      <w:spacing w:line="540" w:lineRule="exact"/>
      <w:ind w:left="480" w:firstLine="5856"/>
    </w:pPr>
  </w:style>
  <w:style w:type="paragraph" w:styleId="4">
    <w:name w:val="envelope return"/>
    <w:basedOn w:val="1"/>
    <w:qFormat/>
    <w:uiPriority w:val="0"/>
    <w:pPr>
      <w:snapToGrid w:val="0"/>
    </w:pPr>
    <w:rPr>
      <w:rFonts w:ascii="Arial" w:hAnsi="Arial"/>
    </w:rPr>
  </w:style>
  <w:style w:type="paragraph" w:styleId="6">
    <w:name w:val="Balloon Text"/>
    <w:basedOn w:val="1"/>
    <w:link w:val="14"/>
    <w:semiHidden/>
    <w:unhideWhenUsed/>
    <w:qFormat/>
    <w:uiPriority w:val="99"/>
    <w:rPr>
      <w:sz w:val="18"/>
      <w:szCs w:val="18"/>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8"/>
    <w:semiHidden/>
    <w:qFormat/>
    <w:uiPriority w:val="99"/>
    <w:rPr>
      <w:sz w:val="18"/>
      <w:szCs w:val="18"/>
    </w:rPr>
  </w:style>
  <w:style w:type="character" w:customStyle="1" w:styleId="13">
    <w:name w:val="页脚 字符"/>
    <w:basedOn w:val="11"/>
    <w:link w:val="7"/>
    <w:semiHidden/>
    <w:qFormat/>
    <w:uiPriority w:val="99"/>
    <w:rPr>
      <w:sz w:val="18"/>
      <w:szCs w:val="18"/>
    </w:rPr>
  </w:style>
  <w:style w:type="character" w:customStyle="1" w:styleId="14">
    <w:name w:val="批注框文本 字符"/>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2193</Words>
  <Characters>2393</Characters>
  <Lines>7</Lines>
  <Paragraphs>2</Paragraphs>
  <TotalTime>8</TotalTime>
  <ScaleCrop>false</ScaleCrop>
  <LinksUpToDate>false</LinksUpToDate>
  <CharactersWithSpaces>2608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2023-04-15T11:37:00Z</dcterms:created>
  <dc:creator>LCX</dc:creator>
  <cp:lastModifiedBy>黄田裕</cp:lastModifiedBy>
  <cp:lastPrinted>2023-04-28T01:57:00Z</cp:lastPrinted>
  <dcterms:modified xsi:type="dcterms:W3CDTF">2025-06-16T08:51:48Z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DBDDE2958C9D410081ABE9E55048645B_13</vt:lpwstr>
  </property>
  <property fmtid="{D5CDD505-2E9C-101B-9397-08002B2CF9AE}" pid="4" name="KSOTemplateDocerSaveRecord">
    <vt:lpwstr>eyJoZGlkIjoiNDcwYjg5MThmZjIyYWI2OGE4ZDhjNWZjY2I1ZDdkNDEifQ==</vt:lpwstr>
  </property>
</Properties>
</file>