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关于</w:t>
      </w:r>
      <w:bookmarkStart w:id="0" w:name="_GoBack"/>
      <w:r>
        <w:rPr>
          <w:rFonts w:hint="eastAsia" w:ascii="宋体" w:hAnsi="宋体" w:eastAsia="宋体" w:cs="宋体"/>
          <w:b/>
          <w:sz w:val="32"/>
          <w:szCs w:val="32"/>
          <w:lang w:val="en-US" w:eastAsia="zh-CN"/>
        </w:rPr>
        <w:t>琼海市嘉积中学教学楼工程</w:t>
      </w:r>
      <w:r>
        <w:rPr>
          <w:rFonts w:hint="eastAsia" w:ascii="宋体" w:hAnsi="宋体" w:eastAsia="宋体" w:cs="宋体"/>
          <w:b/>
          <w:bCs w:val="0"/>
          <w:sz w:val="32"/>
          <w:szCs w:val="32"/>
          <w:lang w:val="en-US" w:eastAsia="zh-CN"/>
        </w:rPr>
        <w:t>部分建筑材料、构配件及工程现场</w:t>
      </w:r>
      <w:r>
        <w:rPr>
          <w:rFonts w:hint="eastAsia" w:ascii="宋体" w:hAnsi="宋体" w:eastAsia="宋体" w:cs="宋体"/>
          <w:b/>
          <w:bCs w:val="0"/>
          <w:kern w:val="2"/>
          <w:sz w:val="32"/>
          <w:szCs w:val="32"/>
          <w:highlight w:val="none"/>
          <w:lang w:val="en-US" w:eastAsia="zh-CN" w:bidi="ar"/>
        </w:rPr>
        <w:t>检测</w:t>
      </w:r>
      <w:bookmarkEnd w:id="0"/>
      <w:r>
        <w:rPr>
          <w:rFonts w:hint="eastAsia" w:ascii="宋体" w:hAnsi="宋体" w:eastAsia="宋体" w:cs="宋体"/>
          <w:b/>
          <w:sz w:val="32"/>
          <w:szCs w:val="32"/>
          <w:lang w:eastAsia="zh-CN"/>
        </w:rPr>
        <w:t>的报价函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bCs/>
          <w:sz w:val="28"/>
          <w:szCs w:val="28"/>
        </w:rPr>
        <w:t>致：</w:t>
      </w:r>
      <w:r>
        <w:rPr>
          <w:rFonts w:hint="eastAsia" w:ascii="宋体" w:hAnsi="宋体" w:eastAsia="宋体" w:cs="宋体"/>
          <w:kern w:val="2"/>
          <w:sz w:val="28"/>
          <w:szCs w:val="28"/>
          <w:lang w:val="en-US" w:eastAsia="zh-CN" w:bidi="ar"/>
        </w:rPr>
        <w:t xml:space="preserve">琼海城投城乡投资有限公司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sz w:val="28"/>
          <w:szCs w:val="28"/>
        </w:rPr>
        <w:t>工程名称：</w:t>
      </w:r>
      <w:r>
        <w:rPr>
          <w:rFonts w:hint="eastAsia" w:ascii="宋体" w:hAnsi="宋体" w:eastAsia="宋体" w:cs="宋体"/>
          <w:kern w:val="2"/>
          <w:sz w:val="28"/>
          <w:szCs w:val="28"/>
          <w:lang w:val="en-US" w:eastAsia="zh-CN" w:bidi="ar"/>
        </w:rPr>
        <w:t>琼海市嘉积中学教学楼工程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highlight w:val="none"/>
          <w:lang w:val="en-US" w:eastAsia="zh-CN" w:bidi="ar"/>
        </w:rPr>
      </w:pPr>
      <w:r>
        <w:rPr>
          <w:rFonts w:hint="eastAsia" w:ascii="宋体" w:hAnsi="宋体" w:eastAsia="宋体" w:cs="宋体"/>
          <w:b/>
          <w:sz w:val="28"/>
          <w:szCs w:val="28"/>
        </w:rPr>
        <w:t>工程建设规模与内容：</w:t>
      </w:r>
      <w:r>
        <w:rPr>
          <w:rFonts w:hint="eastAsia" w:ascii="宋体" w:hAnsi="宋体" w:eastAsia="宋体" w:cs="宋体"/>
          <w:kern w:val="2"/>
          <w:sz w:val="28"/>
          <w:szCs w:val="28"/>
          <w:highlight w:val="none"/>
          <w:lang w:val="en-US" w:eastAsia="zh-CN" w:bidi="ar"/>
        </w:rPr>
        <w:t>该项目为琼海市嘉积中学教学楼工程，项目位于海南省琼海市富桥路区,项目总净用地面积8801.15平方米。项目建设一栋地上五层、地下一层的教学综合楼，总建筑面积11107.18平方米。其中地上7942.89平方米，地下3164.29平方米。建筑高度为21.75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bCs/>
          <w:sz w:val="28"/>
          <w:szCs w:val="28"/>
          <w:highlight w:val="none"/>
          <w:lang w:val="en-US" w:eastAsia="zh-CN"/>
        </w:rPr>
      </w:pPr>
      <w:r>
        <w:rPr>
          <w:rFonts w:hint="eastAsia" w:ascii="宋体" w:hAnsi="宋体" w:eastAsia="宋体" w:cs="宋体"/>
          <w:b/>
          <w:sz w:val="28"/>
          <w:szCs w:val="28"/>
        </w:rPr>
        <w:t>工作内容：</w:t>
      </w:r>
      <w:r>
        <w:rPr>
          <w:rFonts w:hint="eastAsia" w:ascii="宋体" w:hAnsi="宋体" w:eastAsia="宋体" w:cs="宋体"/>
          <w:b w:val="0"/>
          <w:bCs/>
          <w:sz w:val="28"/>
          <w:szCs w:val="28"/>
          <w:lang w:val="en-US" w:eastAsia="zh-CN"/>
        </w:rPr>
        <w:t>部分建筑材料、构配件及工程现场检测，具体详见附件1清单报价明细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8"/>
          <w:szCs w:val="28"/>
          <w:lang w:val="en-US" w:eastAsia="zh-CN" w:bidi="ar"/>
        </w:rPr>
      </w:pPr>
      <w:r>
        <w:rPr>
          <w:rFonts w:hint="eastAsia" w:ascii="宋体" w:hAnsi="宋体" w:eastAsia="宋体" w:cs="宋体"/>
          <w:b/>
          <w:sz w:val="28"/>
          <w:szCs w:val="28"/>
        </w:rPr>
        <w:t>计费依据：</w:t>
      </w:r>
      <w:r>
        <w:rPr>
          <w:rFonts w:hint="eastAsia" w:ascii="宋体" w:hAnsi="宋体" w:eastAsia="宋体" w:cs="宋体"/>
          <w:kern w:val="2"/>
          <w:sz w:val="28"/>
          <w:szCs w:val="28"/>
          <w:highlight w:val="none"/>
          <w:lang w:val="en-US" w:eastAsia="zh-CN" w:bidi="ar"/>
        </w:rPr>
        <w:t>参照《海南省房屋建筑与市政基础设施工程检测收费参考价(2021版)》的收费标准计取</w:t>
      </w:r>
      <w:r>
        <w:rPr>
          <w:rFonts w:hint="eastAsia" w:ascii="宋体" w:hAnsi="宋体" w:eastAsia="宋体" w:cs="宋体"/>
          <w:kern w:val="2"/>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8"/>
          <w:szCs w:val="28"/>
        </w:rPr>
      </w:pPr>
      <w:r>
        <w:rPr>
          <w:rFonts w:hint="eastAsia" w:ascii="宋体" w:hAnsi="宋体" w:eastAsia="宋体" w:cs="宋体"/>
          <w:b/>
          <w:sz w:val="28"/>
          <w:szCs w:val="28"/>
          <w:lang w:val="en-US" w:eastAsia="zh-CN"/>
        </w:rPr>
        <w:t>服务最终报价：</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kern w:val="2"/>
          <w:sz w:val="28"/>
          <w:szCs w:val="28"/>
          <w:lang w:val="en-US" w:eastAsia="zh-CN" w:bidi="ar"/>
        </w:rPr>
        <w:t>元。（注：详见附件1报价明细）</w:t>
      </w:r>
    </w:p>
    <w:p>
      <w:pPr>
        <w:keepNext w:val="0"/>
        <w:keepLines w:val="0"/>
        <w:pageBreakBefore w:val="0"/>
        <w:widowControl w:val="0"/>
        <w:tabs>
          <w:tab w:val="left" w:pos="4455"/>
        </w:tabs>
        <w:kinsoku/>
        <w:wordWrap/>
        <w:overflowPunct/>
        <w:topLinePunct w:val="0"/>
        <w:autoSpaceDE/>
        <w:autoSpaceDN/>
        <w:bidi w:val="0"/>
        <w:adjustRightInd/>
        <w:snapToGrid/>
        <w:spacing w:line="52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服务承诺：</w:t>
      </w:r>
    </w:p>
    <w:p>
      <w:pPr>
        <w:keepNext w:val="0"/>
        <w:keepLines w:val="0"/>
        <w:pageBreakBefore w:val="0"/>
        <w:widowControl w:val="0"/>
        <w:tabs>
          <w:tab w:val="left" w:pos="4455"/>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1.本项目最终完成的涉及结构安全、主要使用功能的建筑材料、建筑构配件、设备以及工程实体质量等检测项目、数量应符合国家、行业及海南省关于房屋建筑和市政基础设施工程的质量验收标准要求。</w:t>
      </w:r>
    </w:p>
    <w:p>
      <w:pPr>
        <w:keepNext w:val="0"/>
        <w:keepLines w:val="0"/>
        <w:pageBreakBefore w:val="0"/>
        <w:widowControl w:val="0"/>
        <w:tabs>
          <w:tab w:val="left" w:pos="4455"/>
        </w:tabs>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2"/>
          <w:sz w:val="28"/>
          <w:szCs w:val="28"/>
          <w:lang w:val="en-US" w:eastAsia="zh-CN" w:bidi="ar"/>
        </w:rPr>
      </w:pPr>
      <w:r>
        <w:rPr>
          <w:rFonts w:hint="eastAsia" w:ascii="宋体" w:hAnsi="宋体" w:eastAsia="宋体" w:cs="宋体"/>
          <w:b w:val="0"/>
          <w:bCs/>
          <w:sz w:val="28"/>
          <w:szCs w:val="28"/>
          <w:lang w:val="en-US" w:eastAsia="zh-CN"/>
        </w:rPr>
        <w:t>2.</w:t>
      </w:r>
      <w:r>
        <w:rPr>
          <w:rFonts w:hint="eastAsia" w:ascii="宋体" w:hAnsi="宋体" w:eastAsia="宋体" w:cs="宋体"/>
          <w:b w:val="0"/>
          <w:bCs/>
          <w:kern w:val="2"/>
          <w:sz w:val="28"/>
          <w:szCs w:val="28"/>
          <w:lang w:val="en-US" w:eastAsia="zh-CN" w:bidi="ar"/>
        </w:rPr>
        <w:t>如果我司取得本项目的检测工作，我司承诺工程质量达到合格标准、国家行业质量验收标准。在此声明，所递交的报价文件及有关资料内容完整、真实和准确，如有虚假、后果自负。</w:t>
      </w:r>
    </w:p>
    <w:p>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报价单位： </w:t>
      </w:r>
    </w:p>
    <w:p>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法定代表人：     （签字或签章）</w:t>
      </w:r>
    </w:p>
    <w:p>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时间： 2025 年    月    日</w:t>
      </w:r>
    </w:p>
    <w:p>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联系人： </w:t>
      </w:r>
    </w:p>
    <w:p>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eastAsia"/>
          <w:lang w:val="en-US" w:eastAsia="zh-CN"/>
        </w:rPr>
        <w:sectPr>
          <w:pgSz w:w="11906" w:h="16838"/>
          <w:pgMar w:top="1440" w:right="1080" w:bottom="1440" w:left="1080" w:header="851" w:footer="992" w:gutter="0"/>
          <w:cols w:space="425" w:num="1"/>
          <w:docGrid w:type="linesAndChars" w:linePitch="312" w:charSpace="0"/>
        </w:sectPr>
      </w:pPr>
      <w:r>
        <w:rPr>
          <w:rFonts w:hint="eastAsia" w:ascii="宋体" w:hAnsi="宋体" w:eastAsia="宋体" w:cs="宋体"/>
          <w:kern w:val="2"/>
          <w:sz w:val="28"/>
          <w:szCs w:val="28"/>
          <w:lang w:val="en-US" w:eastAsia="zh-CN" w:bidi="ar"/>
        </w:rPr>
        <w:t>联系电话：</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912"/>
        <w:gridCol w:w="4074"/>
        <w:gridCol w:w="962"/>
        <w:gridCol w:w="962"/>
        <w:gridCol w:w="1670"/>
        <w:gridCol w:w="167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4174" w:type="dxa"/>
            <w:gridSpan w:val="8"/>
            <w:vAlign w:val="center"/>
          </w:tcPr>
          <w:p>
            <w:pPr>
              <w:jc w:val="center"/>
            </w:pPr>
            <w:r>
              <w:rPr>
                <w:rFonts w:hint="eastAsia" w:ascii="宋体" w:hAnsi="宋体" w:eastAsia="宋体" w:cs="宋体"/>
                <w:b/>
                <w:i w:val="0"/>
                <w:color w:val="000000"/>
                <w:kern w:val="0"/>
                <w:sz w:val="28"/>
                <w:szCs w:val="28"/>
                <w:u w:val="none"/>
                <w:lang w:val="en-US" w:eastAsia="zh-CN" w:bidi="ar"/>
              </w:rPr>
              <w:t>琼海市嘉积中学教学楼工程部分建筑材料、构配件及工程现场检测服务报价明细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61"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291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检验项目</w:t>
            </w:r>
          </w:p>
        </w:tc>
        <w:tc>
          <w:tcPr>
            <w:tcW w:w="4074"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检测参数</w:t>
            </w:r>
          </w:p>
        </w:tc>
        <w:tc>
          <w:tcPr>
            <w:tcW w:w="96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检测</w:t>
            </w:r>
          </w:p>
        </w:tc>
        <w:tc>
          <w:tcPr>
            <w:tcW w:w="167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b/>
                <w:i w:val="0"/>
                <w:color w:val="000000"/>
                <w:kern w:val="0"/>
                <w:sz w:val="24"/>
                <w:szCs w:val="24"/>
                <w:u w:val="none"/>
                <w:lang w:val="en-US" w:eastAsia="zh-CN" w:bidi="ar"/>
              </w:rPr>
              <w:t>报价单价</w:t>
            </w:r>
          </w:p>
        </w:tc>
        <w:tc>
          <w:tcPr>
            <w:tcW w:w="167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b/>
                <w:i w:val="0"/>
                <w:color w:val="000000"/>
                <w:kern w:val="0"/>
                <w:sz w:val="24"/>
                <w:szCs w:val="24"/>
                <w:u w:val="none"/>
                <w:lang w:val="en-US" w:eastAsia="zh-CN" w:bidi="ar"/>
              </w:rPr>
              <w:t>报价合价</w:t>
            </w:r>
          </w:p>
        </w:tc>
        <w:tc>
          <w:tcPr>
            <w:tcW w:w="963" w:type="dxa"/>
            <w:vMerge w:val="restart"/>
            <w:vAlign w:val="center"/>
          </w:tcPr>
          <w:p>
            <w:pPr>
              <w:jc w:val="cente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61" w:type="dxa"/>
            <w:vMerge w:val="continue"/>
            <w:vAlign w:val="center"/>
          </w:tcPr>
          <w:p>
            <w:pPr>
              <w:jc w:val="center"/>
            </w:pPr>
          </w:p>
        </w:tc>
        <w:tc>
          <w:tcPr>
            <w:tcW w:w="2912" w:type="dxa"/>
            <w:vMerge w:val="continue"/>
            <w:vAlign w:val="center"/>
          </w:tcPr>
          <w:p>
            <w:pPr>
              <w:jc w:val="center"/>
            </w:pPr>
          </w:p>
        </w:tc>
        <w:tc>
          <w:tcPr>
            <w:tcW w:w="4074" w:type="dxa"/>
            <w:vMerge w:val="continue"/>
            <w:vAlign w:val="center"/>
          </w:tcPr>
          <w:p>
            <w:pPr>
              <w:jc w:val="center"/>
            </w:pPr>
          </w:p>
        </w:tc>
        <w:tc>
          <w:tcPr>
            <w:tcW w:w="962" w:type="dxa"/>
            <w:vMerge w:val="continue"/>
            <w:vAlign w:val="center"/>
          </w:tcPr>
          <w:p>
            <w:pPr>
              <w:jc w:val="center"/>
            </w:pP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w:t>
            </w:r>
          </w:p>
        </w:tc>
        <w:tc>
          <w:tcPr>
            <w:tcW w:w="16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（元）</w:t>
            </w:r>
          </w:p>
        </w:tc>
        <w:tc>
          <w:tcPr>
            <w:tcW w:w="167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（元）</w:t>
            </w:r>
          </w:p>
        </w:tc>
        <w:tc>
          <w:tcPr>
            <w:tcW w:w="963"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74" w:type="dxa"/>
            <w:gridSpan w:val="8"/>
            <w:vAlign w:val="center"/>
          </w:tcPr>
          <w:p>
            <w:pPr>
              <w:jc w:val="both"/>
            </w:pPr>
            <w:r>
              <w:rPr>
                <w:rFonts w:hint="eastAsia" w:ascii="宋体" w:hAnsi="宋体" w:eastAsia="宋体" w:cs="宋体"/>
                <w:b/>
                <w:i w:val="0"/>
                <w:color w:val="000000"/>
                <w:kern w:val="0"/>
                <w:sz w:val="24"/>
                <w:szCs w:val="24"/>
                <w:u w:val="none"/>
                <w:lang w:val="en-US" w:eastAsia="zh-CN" w:bidi="ar"/>
              </w:rPr>
              <w:t>一、建筑材料及构配件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隔墙板</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外观质量、尺寸偏差、干密度、抗压强度、干燥收缩值、导热系数、锈蚀面积、钢筋粘着力、纵向钢筋保护层厚度、抗冻性、结构性能</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成品砂浆</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饱水率、28d抗压强度、2h稠度损失率</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油漆</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在容器中状态、表干时间、实干时间、弯曲试验、耐冲击性、附着力</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防水砂浆</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外观、凝结时间（终凝/初凝）、抗渗压力、粘结强度、抗压强度</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无纺布</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位面积质量偏差率、厚度偏差率、标称断裂强度对应伸长率、断裂强度、撕破强力、顶破强力、等效孔径、垂直渗透系数</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土工布</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单位面积质量、标称抗拉强度、伸长率</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建筑涂料（内/外墙）</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涂膜外观、干燥时间（表干）、施工性、容器中状态、耐碱性、耐洗刷性、对比率、低温稳定性</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建筑腻子粉（内/外墙）</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容器中状态、施工性、干燥时间（表干）、初期干燥抗裂性、打磨性、粘结强度、低温贮存稳定性</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止水钢板</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外观、尺寸、下屈服强度、抗拉强度、断后伸长率</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瓷砖</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边长、厚度、边直度（正面）、直角度、表面平整度、吸水率、破坏强度、断裂模数、放射性限量</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镀锌圆钢</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尺寸、屈服强度、抗拉强度、断后伸长率、弯曲</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接地扁铁</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尺寸、屈服强度、抗拉强度、断后伸长率、弯曲</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剩余电流动作保护器</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温升（K）、电气强度</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照明开关</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标记、防触电保护器、绝缘电阻、电气强度、机械强度、温升（K）、通断能力、正常操作、电气间隙、爬电距离</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插头、插座</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标记、尺寸检查、防触电保护器、绝缘电阻、电气强度、机械强度、拔出插头力值（N）、耐热、电气间隙、爬电距离</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金属穿线管JDG</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结构、尺寸、弯曲试验、电气性能</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消防水管</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尺寸、屈服强度、抗拉强度、断后伸长率</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消防金属线管</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结构、尺寸、弯曲试验、电气性能</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抗震支架</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涂层厚度（抗震连接构件、抗震斜撑构件、管道连接构件）</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种植土</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PH值、EC值、有机质、质地、土壤入渗率、土壤密度</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抗裂砂浆</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拉伸粘结强度、可操作时间、压折比</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建筑用硅酮结构密封胶</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外观、表干时间、拉伸粘结强度、硬度、剥离粘结性、相容性</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瓷砖用建筑密封胶</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拉伸粘结强度、浸水后粘结强度、晾置时间粘结强度、苯、甲苯+二甲苯、总挥发性有机物、游离甲醛</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丙烯酸酯建筑密封胶</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外观、表干时间、拉伸粘结强度、硬度、剥离粘结性、相容性</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环氧胶粘剂</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拉伸粘结强度、浸水后粘结强度、晾置时间粘结强度、滑移系数</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291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铝合金型材</w:t>
            </w:r>
          </w:p>
        </w:tc>
        <w:tc>
          <w:tcPr>
            <w:tcW w:w="4074"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公称壁厚、实测壁厚、非比例延伸强度、抗拉强度、断后伸长率</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74" w:type="dxa"/>
            <w:gridSpan w:val="8"/>
            <w:vAlign w:val="center"/>
          </w:tcPr>
          <w:p>
            <w:pPr>
              <w:jc w:val="both"/>
              <w:rPr>
                <w:rFonts w:hint="default"/>
                <w:lang w:val="en-US"/>
              </w:rPr>
            </w:pPr>
            <w:r>
              <w:rPr>
                <w:rFonts w:hint="eastAsia" w:ascii="宋体" w:hAnsi="宋体" w:eastAsia="宋体" w:cs="宋体"/>
                <w:b/>
                <w:i w:val="0"/>
                <w:color w:val="000000"/>
                <w:kern w:val="0"/>
                <w:sz w:val="24"/>
                <w:szCs w:val="24"/>
                <w:u w:val="none"/>
                <w:lang w:val="en-US" w:eastAsia="zh-CN" w:bidi="ar"/>
              </w:rPr>
              <w:t>二、工程现场检测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2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粘结与锚固</w:t>
            </w:r>
          </w:p>
        </w:tc>
        <w:tc>
          <w:tcPr>
            <w:tcW w:w="40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饰面砖粘结强度</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2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建筑给水</w:t>
            </w:r>
          </w:p>
        </w:tc>
        <w:tc>
          <w:tcPr>
            <w:tcW w:w="40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水压试验</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23.6</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91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建筑电气</w:t>
            </w:r>
          </w:p>
        </w:tc>
        <w:tc>
          <w:tcPr>
            <w:tcW w:w="40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绝缘电阻</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回路/组</w:t>
            </w:r>
          </w:p>
        </w:tc>
        <w:tc>
          <w:tcPr>
            <w:tcW w:w="96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三</w:t>
            </w:r>
          </w:p>
        </w:tc>
        <w:tc>
          <w:tcPr>
            <w:tcW w:w="10580" w:type="dxa"/>
            <w:gridSpan w:val="5"/>
            <w:vAlign w:val="center"/>
          </w:tcPr>
          <w:p>
            <w:pPr>
              <w:keepNext w:val="0"/>
              <w:keepLines w:val="0"/>
              <w:widowControl/>
              <w:suppressLineNumbers w:val="0"/>
              <w:jc w:val="right"/>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合计（元）：</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四</w:t>
            </w:r>
          </w:p>
        </w:tc>
        <w:tc>
          <w:tcPr>
            <w:tcW w:w="10580" w:type="dxa"/>
            <w:gridSpan w:val="5"/>
            <w:vAlign w:val="center"/>
          </w:tcPr>
          <w:p>
            <w:pPr>
              <w:keepNext w:val="0"/>
              <w:keepLines w:val="0"/>
              <w:widowControl/>
              <w:suppressLineNumbers w:val="0"/>
              <w:jc w:val="right"/>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报价下浮率（%）：</w:t>
            </w:r>
          </w:p>
        </w:tc>
        <w:tc>
          <w:tcPr>
            <w:tcW w:w="1670" w:type="dxa"/>
            <w:vAlign w:val="center"/>
          </w:tcPr>
          <w:p>
            <w:pPr>
              <w:jc w:val="center"/>
              <w:rPr>
                <w:rFonts w:hint="eastAsia" w:ascii="宋体" w:hAnsi="宋体" w:eastAsia="宋体" w:cs="宋体"/>
                <w:kern w:val="2"/>
                <w:sz w:val="24"/>
                <w:szCs w:val="24"/>
                <w:vertAlign w:val="baseline"/>
                <w:lang w:val="en-US" w:eastAsia="zh-CN" w:bidi="ar"/>
              </w:rPr>
            </w:pPr>
          </w:p>
        </w:tc>
        <w:tc>
          <w:tcPr>
            <w:tcW w:w="9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1"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五</w:t>
            </w:r>
          </w:p>
        </w:tc>
        <w:tc>
          <w:tcPr>
            <w:tcW w:w="10580" w:type="dxa"/>
            <w:gridSpan w:val="5"/>
            <w:tcBorders>
              <w:bottom w:val="single" w:color="auto" w:sz="4" w:space="0"/>
            </w:tcBorders>
            <w:vAlign w:val="center"/>
          </w:tcPr>
          <w:p>
            <w:pPr>
              <w:keepNext w:val="0"/>
              <w:keepLines w:val="0"/>
              <w:widowControl/>
              <w:suppressLineNumbers w:val="0"/>
              <w:jc w:val="right"/>
              <w:textAlignment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最终报价合计（元）：</w:t>
            </w:r>
          </w:p>
        </w:tc>
        <w:tc>
          <w:tcPr>
            <w:tcW w:w="1670" w:type="dxa"/>
            <w:tcBorders>
              <w:bottom w:val="single" w:color="auto" w:sz="4" w:space="0"/>
            </w:tcBorders>
            <w:vAlign w:val="center"/>
          </w:tcPr>
          <w:p>
            <w:pPr>
              <w:jc w:val="center"/>
              <w:rPr>
                <w:rFonts w:hint="eastAsia" w:ascii="宋体" w:hAnsi="宋体" w:eastAsia="宋体" w:cs="宋体"/>
                <w:kern w:val="2"/>
                <w:sz w:val="24"/>
                <w:szCs w:val="24"/>
                <w:vertAlign w:val="baseline"/>
                <w:lang w:val="en-US" w:eastAsia="zh-CN" w:bidi="ar"/>
              </w:rPr>
            </w:pPr>
          </w:p>
        </w:tc>
        <w:tc>
          <w:tcPr>
            <w:tcW w:w="963"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single" w:color="auto" w:sz="4" w:space="0"/>
              <w:left w:val="single" w:color="auto" w:sz="4" w:space="0"/>
              <w:bottom w:val="nil"/>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single" w:color="auto" w:sz="4" w:space="0"/>
              <w:bottom w:val="nil"/>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single" w:color="auto" w:sz="4" w:space="0"/>
              <w:bottom w:val="nil"/>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1、报价单价可参照《海南省房屋建筑与市政基础设施工程检测收费参考价(2021版)》的收费标准计取；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single" w:color="auto" w:sz="4" w:space="0"/>
              <w:bottom w:val="nil"/>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single" w:color="auto" w:sz="4" w:space="0"/>
              <w:bottom w:val="nil"/>
              <w:right w:val="single" w:color="auto" w:sz="4" w:space="0"/>
            </w:tcBorders>
            <w:vAlign w:val="center"/>
          </w:tcPr>
          <w:p>
            <w:pPr>
              <w:keepNext w:val="0"/>
              <w:keepLines w:val="0"/>
              <w:widowControl/>
              <w:suppressLineNumbers w:val="0"/>
              <w:jc w:val="left"/>
              <w:textAlignment w:val="center"/>
            </w:pPr>
            <w:r>
              <w:rPr>
                <w:rStyle w:val="15"/>
                <w:lang w:val="en-US" w:eastAsia="zh-CN" w:bidi="ar"/>
              </w:rPr>
              <w:t>2、报价单价为含税固定单价，已包含为完成检测服务工作内容所需的差旅费、人工费、设备费、服务费、管理费、利润、税金、报告编制费、技术工作费等各项相关费用；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174" w:type="dxa"/>
            <w:gridSpan w:val="8"/>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3、工作量为暂定数量，最终数量根据项目实际需求以及相关规范标准、设计文件等要求，按实际完成的数量结算合同价。</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报价单位： </w:t>
      </w:r>
    </w:p>
    <w:p>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     （签字或签章）</w:t>
      </w:r>
    </w:p>
    <w:p>
      <w:pPr>
        <w:keepNext w:val="0"/>
        <w:keepLines w:val="0"/>
        <w:pageBreakBefore w:val="0"/>
        <w:widowControl w:val="0"/>
        <w:kinsoku/>
        <w:wordWrap/>
        <w:overflowPunct/>
        <w:topLinePunct w:val="0"/>
        <w:autoSpaceDE/>
        <w:autoSpaceDN/>
        <w:bidi w:val="0"/>
        <w:adjustRightInd/>
        <w:snapToGrid/>
        <w:spacing w:line="400" w:lineRule="exact"/>
        <w:ind w:firstLine="7920" w:firstLineChars="33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时间：2025 年    月    日</w:t>
      </w:r>
    </w:p>
    <w:p>
      <w:pPr>
        <w:pStyle w:val="2"/>
        <w:ind w:left="0" w:leftChars="0" w:firstLine="0" w:firstLineChars="0"/>
        <w:rPr>
          <w:rFonts w:hint="eastAsia"/>
          <w:lang w:val="en-US" w:eastAsia="zh-CN"/>
        </w:rPr>
      </w:pPr>
    </w:p>
    <w:sectPr>
      <w:pgSz w:w="16838" w:h="11906" w:orient="landscape"/>
      <w:pgMar w:top="1083" w:right="1440" w:bottom="1083" w:left="1440" w:header="851" w:footer="992" w:gutter="0"/>
      <w:cols w:space="0" w:num="1"/>
      <w:rtlGutter w:val="0"/>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QxOTk0Y2U4ZDhmMmZlODc3ZGU2MjIzMGVkMjQifQ=="/>
  </w:docVars>
  <w:rsids>
    <w:rsidRoot w:val="00D3779C"/>
    <w:rsid w:val="000112C9"/>
    <w:rsid w:val="0002146B"/>
    <w:rsid w:val="00043D17"/>
    <w:rsid w:val="000D0D3B"/>
    <w:rsid w:val="00141FA3"/>
    <w:rsid w:val="0016300D"/>
    <w:rsid w:val="001750B4"/>
    <w:rsid w:val="001A3014"/>
    <w:rsid w:val="001A7B9E"/>
    <w:rsid w:val="001C127D"/>
    <w:rsid w:val="001C2F53"/>
    <w:rsid w:val="001C666D"/>
    <w:rsid w:val="001F2E9A"/>
    <w:rsid w:val="00215C52"/>
    <w:rsid w:val="00251D47"/>
    <w:rsid w:val="00251DA9"/>
    <w:rsid w:val="002B785A"/>
    <w:rsid w:val="00371851"/>
    <w:rsid w:val="003818C8"/>
    <w:rsid w:val="00383239"/>
    <w:rsid w:val="0039274C"/>
    <w:rsid w:val="003A5445"/>
    <w:rsid w:val="003B6679"/>
    <w:rsid w:val="003F7504"/>
    <w:rsid w:val="00420889"/>
    <w:rsid w:val="00462901"/>
    <w:rsid w:val="004964CE"/>
    <w:rsid w:val="004B76AE"/>
    <w:rsid w:val="004D0453"/>
    <w:rsid w:val="004E6381"/>
    <w:rsid w:val="004F1FA1"/>
    <w:rsid w:val="00514D5D"/>
    <w:rsid w:val="00520FB3"/>
    <w:rsid w:val="00537CDD"/>
    <w:rsid w:val="00565AE2"/>
    <w:rsid w:val="0059640E"/>
    <w:rsid w:val="005E1FDD"/>
    <w:rsid w:val="0065202C"/>
    <w:rsid w:val="0065542D"/>
    <w:rsid w:val="006C3ED1"/>
    <w:rsid w:val="006E7657"/>
    <w:rsid w:val="00714ACA"/>
    <w:rsid w:val="00782869"/>
    <w:rsid w:val="00795F49"/>
    <w:rsid w:val="007A5699"/>
    <w:rsid w:val="007D5D2F"/>
    <w:rsid w:val="007E29AC"/>
    <w:rsid w:val="007E78A9"/>
    <w:rsid w:val="00874CE5"/>
    <w:rsid w:val="00884B49"/>
    <w:rsid w:val="00886BEF"/>
    <w:rsid w:val="0089618B"/>
    <w:rsid w:val="008B78F9"/>
    <w:rsid w:val="008D3DCE"/>
    <w:rsid w:val="008E48E5"/>
    <w:rsid w:val="008F110C"/>
    <w:rsid w:val="009127A3"/>
    <w:rsid w:val="009B24E8"/>
    <w:rsid w:val="00A232AF"/>
    <w:rsid w:val="00A4128E"/>
    <w:rsid w:val="00A421A6"/>
    <w:rsid w:val="00A72581"/>
    <w:rsid w:val="00AA0B90"/>
    <w:rsid w:val="00AC7158"/>
    <w:rsid w:val="00AD1CCC"/>
    <w:rsid w:val="00AD53E3"/>
    <w:rsid w:val="00AF7E26"/>
    <w:rsid w:val="00B303FF"/>
    <w:rsid w:val="00B460AF"/>
    <w:rsid w:val="00B614D0"/>
    <w:rsid w:val="00B6624B"/>
    <w:rsid w:val="00B97E7B"/>
    <w:rsid w:val="00BB0B59"/>
    <w:rsid w:val="00C4106F"/>
    <w:rsid w:val="00C50FDB"/>
    <w:rsid w:val="00C8091A"/>
    <w:rsid w:val="00CB35C5"/>
    <w:rsid w:val="00CC0ACD"/>
    <w:rsid w:val="00CD4D43"/>
    <w:rsid w:val="00CE02C1"/>
    <w:rsid w:val="00CE5AFB"/>
    <w:rsid w:val="00CF489C"/>
    <w:rsid w:val="00D210B9"/>
    <w:rsid w:val="00D22C25"/>
    <w:rsid w:val="00D36BD5"/>
    <w:rsid w:val="00D3779C"/>
    <w:rsid w:val="00E13584"/>
    <w:rsid w:val="00E30176"/>
    <w:rsid w:val="00E52C4E"/>
    <w:rsid w:val="00E6679A"/>
    <w:rsid w:val="00EC23AD"/>
    <w:rsid w:val="00F029AA"/>
    <w:rsid w:val="00F1388D"/>
    <w:rsid w:val="00F647C2"/>
    <w:rsid w:val="00F84A74"/>
    <w:rsid w:val="00F870DF"/>
    <w:rsid w:val="00FA1E2D"/>
    <w:rsid w:val="00FE2397"/>
    <w:rsid w:val="035663B6"/>
    <w:rsid w:val="03A87151"/>
    <w:rsid w:val="03B8571E"/>
    <w:rsid w:val="0433137B"/>
    <w:rsid w:val="046F5D9A"/>
    <w:rsid w:val="049A7BD3"/>
    <w:rsid w:val="056A4A1A"/>
    <w:rsid w:val="07A21D68"/>
    <w:rsid w:val="07D7101D"/>
    <w:rsid w:val="0A470D35"/>
    <w:rsid w:val="0B193D02"/>
    <w:rsid w:val="0BDA0213"/>
    <w:rsid w:val="0C1441FC"/>
    <w:rsid w:val="0C271315"/>
    <w:rsid w:val="0CB84ABE"/>
    <w:rsid w:val="10A87F7E"/>
    <w:rsid w:val="10D848DD"/>
    <w:rsid w:val="11075C76"/>
    <w:rsid w:val="12747CB6"/>
    <w:rsid w:val="171F0264"/>
    <w:rsid w:val="17436FE9"/>
    <w:rsid w:val="18DE232D"/>
    <w:rsid w:val="19550ECC"/>
    <w:rsid w:val="1B9413C8"/>
    <w:rsid w:val="1F6A5947"/>
    <w:rsid w:val="205363FD"/>
    <w:rsid w:val="25EE546E"/>
    <w:rsid w:val="26FC2651"/>
    <w:rsid w:val="279B287A"/>
    <w:rsid w:val="2862336E"/>
    <w:rsid w:val="2A273C9B"/>
    <w:rsid w:val="2A952B85"/>
    <w:rsid w:val="2B93439B"/>
    <w:rsid w:val="2C1D1034"/>
    <w:rsid w:val="2F0B1CA5"/>
    <w:rsid w:val="300D70B8"/>
    <w:rsid w:val="325D4EF0"/>
    <w:rsid w:val="32A71AF0"/>
    <w:rsid w:val="338327C0"/>
    <w:rsid w:val="34C8279C"/>
    <w:rsid w:val="366512DD"/>
    <w:rsid w:val="38575800"/>
    <w:rsid w:val="391406B9"/>
    <w:rsid w:val="39424839"/>
    <w:rsid w:val="39B753D2"/>
    <w:rsid w:val="3A4C57F3"/>
    <w:rsid w:val="3C555DBE"/>
    <w:rsid w:val="3F2221D8"/>
    <w:rsid w:val="40131052"/>
    <w:rsid w:val="40532D51"/>
    <w:rsid w:val="40737DCC"/>
    <w:rsid w:val="40D62A6E"/>
    <w:rsid w:val="412344D1"/>
    <w:rsid w:val="432647DB"/>
    <w:rsid w:val="438020AF"/>
    <w:rsid w:val="442C2496"/>
    <w:rsid w:val="44AE0556"/>
    <w:rsid w:val="44CD230B"/>
    <w:rsid w:val="45263757"/>
    <w:rsid w:val="49BC54C3"/>
    <w:rsid w:val="4C823CAA"/>
    <w:rsid w:val="509A29AF"/>
    <w:rsid w:val="52527577"/>
    <w:rsid w:val="544D3F25"/>
    <w:rsid w:val="55030E15"/>
    <w:rsid w:val="561A14D3"/>
    <w:rsid w:val="582E07D2"/>
    <w:rsid w:val="597253E6"/>
    <w:rsid w:val="5B1A488C"/>
    <w:rsid w:val="5E694C8B"/>
    <w:rsid w:val="61547287"/>
    <w:rsid w:val="62D05E47"/>
    <w:rsid w:val="636470A4"/>
    <w:rsid w:val="64F73A13"/>
    <w:rsid w:val="67F757A1"/>
    <w:rsid w:val="683C70E7"/>
    <w:rsid w:val="69EB6340"/>
    <w:rsid w:val="6A485D16"/>
    <w:rsid w:val="6CB26279"/>
    <w:rsid w:val="6DB81AA3"/>
    <w:rsid w:val="706946F9"/>
    <w:rsid w:val="71881E8A"/>
    <w:rsid w:val="726B1F70"/>
    <w:rsid w:val="73AC222A"/>
    <w:rsid w:val="76B3152D"/>
    <w:rsid w:val="79657F23"/>
    <w:rsid w:val="79B50153"/>
    <w:rsid w:val="7AD51AA3"/>
    <w:rsid w:val="7CC3095C"/>
    <w:rsid w:val="7D582587"/>
    <w:rsid w:val="7DE16BC8"/>
    <w:rsid w:val="7FCD2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napToGrid w:val="0"/>
      <w:spacing w:beforeAutospacing="0" w:afterAutospacing="0" w:line="360" w:lineRule="auto"/>
      <w:jc w:val="center"/>
      <w:outlineLvl w:val="0"/>
    </w:pPr>
    <w:rPr>
      <w:rFonts w:ascii="Times New Roman" w:hAnsi="Times New Roman" w:eastAsia="宋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050"/>
      </w:tabs>
      <w:spacing w:line="360" w:lineRule="auto"/>
      <w:ind w:firstLine="200" w:firstLineChars="200"/>
    </w:pPr>
    <w:rPr>
      <w:rFonts w:ascii="Verdana" w:hAnsi="Verdana" w:cs="Verdana"/>
      <w:szCs w:val="28"/>
      <w:lang w:eastAsia="en-US"/>
    </w:rPr>
  </w:style>
  <w:style w:type="paragraph" w:styleId="3">
    <w:name w:val="Body Text Indent"/>
    <w:basedOn w:val="1"/>
    <w:next w:val="4"/>
    <w:qFormat/>
    <w:uiPriority w:val="0"/>
    <w:pPr>
      <w:widowControl/>
      <w:spacing w:line="540" w:lineRule="exact"/>
      <w:ind w:left="480" w:firstLine="5856"/>
    </w:pPr>
  </w:style>
  <w:style w:type="paragraph" w:styleId="4">
    <w:name w:val="envelope return"/>
    <w:basedOn w:val="1"/>
    <w:qFormat/>
    <w:uiPriority w:val="0"/>
    <w:pPr>
      <w:snapToGrid w:val="0"/>
    </w:pPr>
    <w:rPr>
      <w:rFonts w:ascii="Arial" w:hAnsi="Arial"/>
    </w:rPr>
  </w:style>
  <w:style w:type="paragraph" w:styleId="6">
    <w:name w:val="Balloon Text"/>
    <w:basedOn w:val="1"/>
    <w:link w:val="14"/>
    <w:semiHidden/>
    <w:unhideWhenUsed/>
    <w:qFormat/>
    <w:uiPriority w:val="99"/>
    <w:rPr>
      <w:sz w:val="18"/>
      <w:szCs w:val="18"/>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semiHidden/>
    <w:qFormat/>
    <w:uiPriority w:val="99"/>
    <w:rPr>
      <w:sz w:val="18"/>
      <w:szCs w:val="18"/>
    </w:rPr>
  </w:style>
  <w:style w:type="character" w:customStyle="1" w:styleId="14">
    <w:name w:val="批注框文本 字符"/>
    <w:basedOn w:val="11"/>
    <w:link w:val="6"/>
    <w:semiHidden/>
    <w:qFormat/>
    <w:uiPriority w:val="99"/>
    <w:rPr>
      <w:kern w:val="2"/>
      <w:sz w:val="18"/>
      <w:szCs w:val="18"/>
    </w:rPr>
  </w:style>
  <w:style w:type="character" w:customStyle="1" w:styleId="15">
    <w:name w:val="font1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2193</Words>
  <Characters>2393</Characters>
  <Lines>7</Lines>
  <Paragraphs>2</Paragraphs>
  <TotalTime>4</TotalTime>
  <ScaleCrop>false</ScaleCrop>
  <LinksUpToDate>false</LinksUpToDate>
  <CharactersWithSpaces>2608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2023-04-15T11:37:00Z</dcterms:created>
  <dc:creator>LCX</dc:creator>
  <cp:lastModifiedBy>许起发</cp:lastModifiedBy>
  <cp:lastPrinted>2023-04-28T01:57:00Z</cp:lastPrinted>
  <dcterms:modified xsi:type="dcterms:W3CDTF">2025-07-29T02:26:34Z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DBDDE2958C9D410081ABE9E55048645B_13</vt:lpwstr>
  </property>
  <property fmtid="{D5CDD505-2E9C-101B-9397-08002B2CF9AE}" pid="4" name="KSOTemplateDocerSaveRecord">
    <vt:lpwstr>eyJoZGlkIjoiNDcwYjg5MThmZjIyYWI2OGE4ZDhjNWZjY2I1ZDdkNDEifQ==</vt:lpwstr>
  </property>
</Properties>
</file>