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F0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长坡镇连片养殖低位塘清退区域生态修复实施项目</w:t>
      </w:r>
    </w:p>
    <w:p w14:paraId="763BF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设计服务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的报价函</w:t>
      </w:r>
    </w:p>
    <w:p w14:paraId="1D41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致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琼海城投水环境投资有限公司</w:t>
      </w:r>
    </w:p>
    <w:p w14:paraId="40A3E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工程名称：</w:t>
      </w:r>
      <w:r>
        <w:rPr>
          <w:rFonts w:hint="eastAsia" w:ascii="宋体" w:hAnsi="宋体" w:eastAsia="宋体" w:cs="Times New Roman"/>
          <w:b w:val="0"/>
          <w:bCs/>
          <w:sz w:val="28"/>
          <w:szCs w:val="28"/>
          <w:lang w:eastAsia="zh-CN"/>
        </w:rPr>
        <w:t>长坡镇连片养殖低位塘清退区域生态修复实施项目</w:t>
      </w:r>
    </w:p>
    <w:p w14:paraId="0B40B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项目概况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北部沙荖河连片鱼塘拟回填种植海防林约 60亩，南部沿海区域连片低位塘中可连通部分拟修复为连通湿地，接引周边排水渠水 97 流进入连通湿地，部分不具备连通条件的则回填后修复为林地。预估总投资3000万。</w:t>
      </w:r>
    </w:p>
    <w:p w14:paraId="56EDE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工作内容：</w:t>
      </w:r>
      <w:r>
        <w:rPr>
          <w:rFonts w:hint="default" w:ascii="宋体" w:hAnsi="宋体" w:eastAsia="宋体" w:cs="Times New Roman"/>
          <w:b w:val="0"/>
          <w:bCs/>
          <w:sz w:val="28"/>
          <w:szCs w:val="28"/>
          <w:highlight w:val="none"/>
          <w:lang w:val="en-US" w:eastAsia="zh-CN"/>
        </w:rPr>
        <w:t>初步设计（含概算编制）、施工图设计</w:t>
      </w:r>
      <w:r>
        <w:rPr>
          <w:rFonts w:hint="eastAsia" w:ascii="宋体" w:hAnsi="宋体" w:eastAsia="宋体" w:cs="Times New Roman"/>
          <w:b w:val="0"/>
          <w:bCs/>
          <w:sz w:val="28"/>
          <w:szCs w:val="28"/>
          <w:highlight w:val="none"/>
          <w:lang w:val="en-US" w:eastAsia="zh-CN"/>
        </w:rPr>
        <w:t>、相关专项设计</w:t>
      </w:r>
      <w:r>
        <w:rPr>
          <w:rFonts w:hint="default" w:ascii="宋体" w:hAnsi="宋体" w:eastAsia="宋体" w:cs="Times New Roman"/>
          <w:b w:val="0"/>
          <w:bCs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eastAsia="宋体" w:cs="Times New Roman"/>
          <w:b w:val="0"/>
          <w:bCs/>
          <w:sz w:val="28"/>
          <w:szCs w:val="28"/>
          <w:highlight w:val="none"/>
          <w:lang w:val="en-US" w:eastAsia="zh-CN"/>
        </w:rPr>
        <w:t>施工阶段</w:t>
      </w:r>
      <w:r>
        <w:rPr>
          <w:rFonts w:hint="default" w:ascii="宋体" w:hAnsi="宋体" w:eastAsia="宋体" w:cs="Times New Roman"/>
          <w:b w:val="0"/>
          <w:bCs/>
          <w:sz w:val="28"/>
          <w:szCs w:val="28"/>
          <w:highlight w:val="none"/>
          <w:lang w:val="en-US" w:eastAsia="zh-CN"/>
        </w:rPr>
        <w:t>配合服务</w:t>
      </w:r>
      <w:r>
        <w:rPr>
          <w:rFonts w:hint="eastAsia" w:ascii="宋体" w:hAnsi="宋体" w:eastAsia="宋体" w:cs="Times New Roman"/>
          <w:b w:val="0"/>
          <w:bCs/>
          <w:sz w:val="28"/>
          <w:szCs w:val="28"/>
          <w:highlight w:val="none"/>
          <w:lang w:val="en-US" w:eastAsia="zh-CN"/>
        </w:rPr>
        <w:t>等设计服务</w:t>
      </w:r>
      <w:r>
        <w:rPr>
          <w:rFonts w:hint="default" w:ascii="宋体" w:hAnsi="宋体" w:eastAsia="宋体" w:cs="Times New Roman"/>
          <w:b w:val="0"/>
          <w:bCs/>
          <w:sz w:val="28"/>
          <w:szCs w:val="28"/>
          <w:highlight w:val="none"/>
          <w:lang w:val="en-US" w:eastAsia="zh-CN"/>
        </w:rPr>
        <w:t>，以及各阶段需配合建设单位报审、报建等工作。</w:t>
      </w:r>
    </w:p>
    <w:p w14:paraId="6F1C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设计费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：参照国家计委、建设部关于发布《工程勘察设计收费管理规定》的通知（计价格[2002]10号），设计费=[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38.8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+（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103.8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-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38.8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）/（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000-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000）×（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/>
        </w:rPr>
        <w:t>3000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-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000）]×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1.0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（专业调整系数）×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0.85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（复杂程度系数）×0.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（优惠折扣）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=52.94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万元。</w:t>
      </w:r>
    </w:p>
    <w:p w14:paraId="6E817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报价下浮率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</w:rPr>
        <w:t xml:space="preserve">        %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。</w:t>
      </w:r>
    </w:p>
    <w:p w14:paraId="2736E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设计费报价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</w:rPr>
        <w:t xml:space="preserve">         万元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。</w:t>
      </w:r>
    </w:p>
    <w:p w14:paraId="7C97D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最终设计费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  <w:lang w:val="en-US" w:eastAsia="zh-CN"/>
        </w:rPr>
        <w:t>结算价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=[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38.8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+（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103.8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-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38.8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）/（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000-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000）×（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概算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highlight w:val="none"/>
        </w:rPr>
        <w:t>批复的建安费-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000）]×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1.0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（专业调整系数）</w:t>
      </w:r>
      <w:r>
        <w:rPr>
          <w:rFonts w:hint="eastAsia" w:ascii="宋体" w:hAnsi="宋体" w:eastAsia="宋体" w:cs="Times New Roman"/>
          <w:color w:val="0000FF"/>
          <w:sz w:val="28"/>
          <w:szCs w:val="28"/>
          <w:highlight w:val="none"/>
        </w:rPr>
        <w:t>×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0.85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（复杂程度系数）×0.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（优惠折扣）×（1-|报价下浮率|）。</w:t>
      </w:r>
    </w:p>
    <w:p w14:paraId="3663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如果我方为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长坡镇连片养殖低位塘清退区域生态修复实施项目</w:t>
      </w:r>
      <w:r>
        <w:rPr>
          <w:rFonts w:ascii="宋体" w:hAnsi="宋体" w:eastAsia="宋体" w:cs="Times New Roman"/>
          <w:sz w:val="28"/>
          <w:szCs w:val="28"/>
        </w:rPr>
        <w:t>的设计单位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我方承诺将依据工程设计文件及有关的技术要求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国家有关的设计标准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技术规范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规程完成该项目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设计</w:t>
      </w:r>
      <w:r>
        <w:rPr>
          <w:rFonts w:ascii="宋体" w:hAnsi="宋体" w:eastAsia="宋体" w:cs="Times New Roman"/>
          <w:sz w:val="28"/>
          <w:szCs w:val="28"/>
        </w:rPr>
        <w:t>工作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并确保设计深度满足国家和海南省有关规定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对完成的设计文件的正确性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完备性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可靠性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可操作性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经济性负责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  <w:r>
        <w:rPr>
          <w:rFonts w:ascii="宋体" w:hAnsi="宋体" w:eastAsia="宋体" w:cs="Times New Roman"/>
          <w:sz w:val="28"/>
          <w:szCs w:val="28"/>
        </w:rPr>
        <w:t>在此声明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所递交的报价文件及有关资料内容完整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真实和准确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如有虚假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后果自负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66216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 w:cs="Times New Roman"/>
          <w:sz w:val="28"/>
          <w:szCs w:val="28"/>
        </w:rPr>
      </w:pPr>
    </w:p>
    <w:p w14:paraId="3A1A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40" w:firstLineChars="155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AB61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       （签章）</w:t>
      </w:r>
    </w:p>
    <w:p w14:paraId="79ACB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法人代表：       （签字或签章）</w:t>
      </w:r>
    </w:p>
    <w:p w14:paraId="70C28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时    间：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2D7F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 人：</w:t>
      </w:r>
    </w:p>
    <w:p w14:paraId="46C13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D71F1"/>
    <w:rsid w:val="043B7F49"/>
    <w:rsid w:val="053200D2"/>
    <w:rsid w:val="05F01118"/>
    <w:rsid w:val="06DC70D9"/>
    <w:rsid w:val="091F1A33"/>
    <w:rsid w:val="0C965717"/>
    <w:rsid w:val="0FB20BE8"/>
    <w:rsid w:val="13E817A1"/>
    <w:rsid w:val="19CF16D8"/>
    <w:rsid w:val="1AE91ACE"/>
    <w:rsid w:val="1BB363D9"/>
    <w:rsid w:val="1C7464DB"/>
    <w:rsid w:val="1D392C47"/>
    <w:rsid w:val="1DE67BB9"/>
    <w:rsid w:val="24926C52"/>
    <w:rsid w:val="27EB35D9"/>
    <w:rsid w:val="27F830DB"/>
    <w:rsid w:val="28BF23E3"/>
    <w:rsid w:val="2A9A3480"/>
    <w:rsid w:val="2D9A60D5"/>
    <w:rsid w:val="2EA84149"/>
    <w:rsid w:val="31905488"/>
    <w:rsid w:val="354E527B"/>
    <w:rsid w:val="364B2207"/>
    <w:rsid w:val="3B034064"/>
    <w:rsid w:val="3CA34FD7"/>
    <w:rsid w:val="3DF26C87"/>
    <w:rsid w:val="447D602E"/>
    <w:rsid w:val="495B1295"/>
    <w:rsid w:val="4AC04AF6"/>
    <w:rsid w:val="4BBD2603"/>
    <w:rsid w:val="4DC13355"/>
    <w:rsid w:val="4F0B1A59"/>
    <w:rsid w:val="507559E3"/>
    <w:rsid w:val="508475B1"/>
    <w:rsid w:val="566630F8"/>
    <w:rsid w:val="5D043687"/>
    <w:rsid w:val="5D224BEA"/>
    <w:rsid w:val="5D516FE6"/>
    <w:rsid w:val="5D5B3275"/>
    <w:rsid w:val="5DDA095A"/>
    <w:rsid w:val="5F942A1F"/>
    <w:rsid w:val="6588121F"/>
    <w:rsid w:val="66040EC5"/>
    <w:rsid w:val="66276402"/>
    <w:rsid w:val="669C1071"/>
    <w:rsid w:val="673C3DE7"/>
    <w:rsid w:val="679505DF"/>
    <w:rsid w:val="68702C7E"/>
    <w:rsid w:val="68B23F01"/>
    <w:rsid w:val="68FB39EF"/>
    <w:rsid w:val="6C160874"/>
    <w:rsid w:val="6EBE59A3"/>
    <w:rsid w:val="6FBD016A"/>
    <w:rsid w:val="727C03D0"/>
    <w:rsid w:val="72C809A3"/>
    <w:rsid w:val="759644CA"/>
    <w:rsid w:val="77656C6A"/>
    <w:rsid w:val="77D45BD4"/>
    <w:rsid w:val="7892067B"/>
    <w:rsid w:val="79CB34C0"/>
    <w:rsid w:val="7A6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3"/>
    <w:basedOn w:val="1"/>
    <w:next w:val="1"/>
    <w:qFormat/>
    <w:uiPriority w:val="0"/>
    <w:pPr>
      <w:widowControl w:val="0"/>
      <w:wordWrap/>
      <w:topLinePunct w:val="0"/>
      <w:snapToGrid/>
      <w:spacing w:after="0" w:afterLines="0" w:line="240" w:lineRule="auto"/>
      <w:ind w:firstLine="0" w:firstLineChars="0"/>
      <w:outlineLvl w:val="2"/>
    </w:pPr>
    <w:rPr>
      <w:rFonts w:ascii="Calibri" w:hAnsi="Calibri" w:cs="Arial"/>
      <w:b/>
      <w:bCs/>
      <w:kern w:val="24"/>
      <w:sz w:val="28"/>
      <w:szCs w:val="24"/>
    </w:rPr>
  </w:style>
  <w:style w:type="character" w:styleId="5">
    <w:name w:val="FollowedHyperlink"/>
    <w:basedOn w:val="4"/>
    <w:qFormat/>
    <w:uiPriority w:val="0"/>
    <w:rPr>
      <w:color w:val="2490F8"/>
      <w:u w:val="single"/>
    </w:rPr>
  </w:style>
  <w:style w:type="character" w:styleId="6">
    <w:name w:val="Hyperlink"/>
    <w:basedOn w:val="4"/>
    <w:qFormat/>
    <w:uiPriority w:val="0"/>
    <w:rPr>
      <w:color w:val="2490F8"/>
      <w:u w:val="single"/>
    </w:rPr>
  </w:style>
  <w:style w:type="character" w:customStyle="1" w:styleId="7">
    <w:name w:val="pagechatarealistclose_box"/>
    <w:basedOn w:val="4"/>
    <w:qFormat/>
    <w:uiPriority w:val="0"/>
  </w:style>
  <w:style w:type="character" w:customStyle="1" w:styleId="8">
    <w:name w:val="icontext2"/>
    <w:basedOn w:val="4"/>
    <w:qFormat/>
    <w:uiPriority w:val="0"/>
  </w:style>
  <w:style w:type="character" w:customStyle="1" w:styleId="9">
    <w:name w:val="iconline2"/>
    <w:basedOn w:val="4"/>
    <w:qFormat/>
    <w:uiPriority w:val="0"/>
  </w:style>
  <w:style w:type="character" w:customStyle="1" w:styleId="10">
    <w:name w:val="hilite"/>
    <w:basedOn w:val="4"/>
    <w:qFormat/>
    <w:uiPriority w:val="0"/>
    <w:rPr>
      <w:color w:val="FFFFFF"/>
      <w:shd w:val="clear" w:fill="666666"/>
    </w:rPr>
  </w:style>
  <w:style w:type="character" w:customStyle="1" w:styleId="11">
    <w:name w:val="cdropright"/>
    <w:basedOn w:val="4"/>
    <w:qFormat/>
    <w:uiPriority w:val="0"/>
  </w:style>
  <w:style w:type="character" w:customStyle="1" w:styleId="12">
    <w:name w:val="icontext1"/>
    <w:basedOn w:val="4"/>
    <w:qFormat/>
    <w:uiPriority w:val="0"/>
  </w:style>
  <w:style w:type="character" w:customStyle="1" w:styleId="13">
    <w:name w:val="icontext11"/>
    <w:basedOn w:val="4"/>
    <w:qFormat/>
    <w:uiPriority w:val="0"/>
  </w:style>
  <w:style w:type="character" w:customStyle="1" w:styleId="14">
    <w:name w:val="icontext12"/>
    <w:basedOn w:val="4"/>
    <w:qFormat/>
    <w:uiPriority w:val="0"/>
  </w:style>
  <w:style w:type="character" w:customStyle="1" w:styleId="15">
    <w:name w:val="associateddata"/>
    <w:basedOn w:val="4"/>
    <w:qFormat/>
    <w:uiPriority w:val="0"/>
    <w:rPr>
      <w:shd w:val="clear" w:fill="50A6F9"/>
    </w:rPr>
  </w:style>
  <w:style w:type="character" w:customStyle="1" w:styleId="16">
    <w:name w:val="cy"/>
    <w:basedOn w:val="4"/>
    <w:qFormat/>
    <w:uiPriority w:val="0"/>
  </w:style>
  <w:style w:type="character" w:customStyle="1" w:styleId="17">
    <w:name w:val="icontext3"/>
    <w:basedOn w:val="4"/>
    <w:qFormat/>
    <w:uiPriority w:val="0"/>
  </w:style>
  <w:style w:type="character" w:customStyle="1" w:styleId="18">
    <w:name w:val="drapbtn"/>
    <w:basedOn w:val="4"/>
    <w:qFormat/>
    <w:uiPriority w:val="0"/>
  </w:style>
  <w:style w:type="character" w:customStyle="1" w:styleId="19">
    <w:name w:val="ico1654"/>
    <w:basedOn w:val="4"/>
    <w:qFormat/>
    <w:uiPriority w:val="0"/>
  </w:style>
  <w:style w:type="character" w:customStyle="1" w:styleId="20">
    <w:name w:val="ico1655"/>
    <w:basedOn w:val="4"/>
    <w:qFormat/>
    <w:uiPriority w:val="0"/>
  </w:style>
  <w:style w:type="character" w:customStyle="1" w:styleId="21">
    <w:name w:val="after"/>
    <w:basedOn w:val="4"/>
    <w:qFormat/>
    <w:uiPriority w:val="0"/>
    <w:rPr>
      <w:sz w:val="0"/>
      <w:szCs w:val="0"/>
    </w:rPr>
  </w:style>
  <w:style w:type="character" w:customStyle="1" w:styleId="22">
    <w:name w:val="tmpztreemove_arrow"/>
    <w:basedOn w:val="4"/>
    <w:qFormat/>
    <w:uiPriority w:val="0"/>
  </w:style>
  <w:style w:type="character" w:customStyle="1" w:styleId="23">
    <w:name w:val="cdropleft"/>
    <w:basedOn w:val="4"/>
    <w:qFormat/>
    <w:uiPriority w:val="0"/>
  </w:style>
  <w:style w:type="character" w:customStyle="1" w:styleId="24">
    <w:name w:val="active7"/>
    <w:basedOn w:val="4"/>
    <w:qFormat/>
    <w:uiPriority w:val="0"/>
    <w:rPr>
      <w:color w:val="00FF00"/>
      <w:shd w:val="clear" w:fill="111111"/>
    </w:rPr>
  </w:style>
  <w:style w:type="character" w:customStyle="1" w:styleId="25">
    <w:name w:val="active8"/>
    <w:basedOn w:val="4"/>
    <w:qFormat/>
    <w:uiPriority w:val="0"/>
    <w:rPr>
      <w:shd w:val="clear" w:fill="EC3535"/>
    </w:rPr>
  </w:style>
  <w:style w:type="character" w:customStyle="1" w:styleId="26">
    <w:name w:val="w32"/>
    <w:basedOn w:val="4"/>
    <w:qFormat/>
    <w:uiPriority w:val="0"/>
  </w:style>
  <w:style w:type="character" w:customStyle="1" w:styleId="27">
    <w:name w:val="button4"/>
    <w:basedOn w:val="4"/>
    <w:qFormat/>
    <w:uiPriority w:val="0"/>
  </w:style>
  <w:style w:type="character" w:customStyle="1" w:styleId="2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first-child"/>
    <w:basedOn w:val="4"/>
    <w:qFormat/>
    <w:uiPriority w:val="0"/>
  </w:style>
  <w:style w:type="character" w:customStyle="1" w:styleId="30">
    <w:name w:val="button"/>
    <w:basedOn w:val="4"/>
    <w:qFormat/>
    <w:uiPriority w:val="0"/>
  </w:style>
  <w:style w:type="character" w:customStyle="1" w:styleId="31">
    <w:name w:val="iconline21"/>
    <w:basedOn w:val="4"/>
    <w:qFormat/>
    <w:uiPriority w:val="0"/>
  </w:style>
  <w:style w:type="character" w:customStyle="1" w:styleId="32">
    <w:name w:val="pagechatarealistclose_box1"/>
    <w:basedOn w:val="4"/>
    <w:qFormat/>
    <w:uiPriority w:val="0"/>
  </w:style>
  <w:style w:type="character" w:customStyle="1" w:styleId="33">
    <w:name w:val="active5"/>
    <w:basedOn w:val="4"/>
    <w:qFormat/>
    <w:uiPriority w:val="0"/>
    <w:rPr>
      <w:color w:val="00FF00"/>
      <w:shd w:val="clear" w:fill="111111"/>
    </w:rPr>
  </w:style>
  <w:style w:type="character" w:customStyle="1" w:styleId="34">
    <w:name w:val="active6"/>
    <w:basedOn w:val="4"/>
    <w:qFormat/>
    <w:uiPriority w:val="0"/>
    <w:rPr>
      <w:shd w:val="clear" w:fill="EC3535"/>
    </w:rPr>
  </w:style>
  <w:style w:type="character" w:customStyle="1" w:styleId="35">
    <w:name w:val="ico1652"/>
    <w:basedOn w:val="4"/>
    <w:qFormat/>
    <w:uiPriority w:val="0"/>
  </w:style>
  <w:style w:type="character" w:customStyle="1" w:styleId="36">
    <w:name w:val="ico1653"/>
    <w:basedOn w:val="4"/>
    <w:qFormat/>
    <w:uiPriority w:val="0"/>
  </w:style>
  <w:style w:type="character" w:customStyle="1" w:styleId="37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38">
    <w:name w:val="active"/>
    <w:basedOn w:val="4"/>
    <w:qFormat/>
    <w:uiPriority w:val="0"/>
    <w:rPr>
      <w:shd w:val="clear" w:fill="EC3535"/>
    </w:rPr>
  </w:style>
  <w:style w:type="character" w:customStyle="1" w:styleId="39">
    <w:name w:val="active1"/>
    <w:basedOn w:val="4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716</Characters>
  <Lines>0</Lines>
  <Paragraphs>0</Paragraphs>
  <TotalTime>2</TotalTime>
  <ScaleCrop>false</ScaleCrop>
  <LinksUpToDate>false</LinksUpToDate>
  <CharactersWithSpaces>763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2022-04-18T06:44:00Z</dcterms:created>
  <dc:creator>Lenovo</dc:creator>
  <cp:lastModifiedBy>叶志彤</cp:lastModifiedBy>
  <dcterms:modified xsi:type="dcterms:W3CDTF">2025-08-01T03:37:43Z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eyJoZGlkIjoiYmJlODA0ZWRmNDlhOWZiZDZhMTdmZjEzNTFhOWM0NmMiLCJ1c2VySWQiOiI2NzU5NTkyNDcifQ==</vt:lpwstr>
  </property>
  <property fmtid="{D5CDD505-2E9C-101B-9397-08002B2CF9AE}" pid="4" name="ICV">
    <vt:lpwstr>21939423E62A40F78D1BCA6321A337BD_12</vt:lpwstr>
  </property>
</Properties>
</file>